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14306-C</w:t>
        <w:t xml:space="preserve">.  </w:t>
      </w:r>
      <w:r>
        <w:rPr>
          <w:b/>
        </w:rPr>
        <w:t xml:space="preserve">Licensing</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on the effective date of this section, a person may not, unless specifically exempted by this chapter, claim to be a massage therapist or a massage practitioner unless licensed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w:t>
      </w:r>
    </w:p>
    <w:p>
      <w:pPr>
        <w:jc w:val="both"/>
        <w:spacing w:before="100" w:after="0"/>
        <w:ind w:start="360"/>
        <w:ind w:firstLine="360"/>
      </w:pPr>
      <w:r>
        <w:rPr>
          <w:b/>
        </w:rPr>
        <w:t>2</w:t>
        <w:t xml:space="preserve">.  </w:t>
      </w:r>
      <w:r>
        <w:rPr>
          <w:b/>
        </w:rPr>
        <w:t xml:space="preserve">Individual licensing.</w:t>
        <w:t xml:space="preserve"> </w:t>
      </w:r>
      <w:r>
        <w:t xml:space="preserve"> </w:t>
      </w:r>
      <w:r>
        <w:t xml:space="preserve">Only an individual who is qualified under this chapter may be issued a license to practice massage therapy.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681,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§14306-C.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§14306-C.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§14306-C.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