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1574</w:t>
        <w:t xml:space="preserve">.  </w:t>
      </w:r>
      <w:r>
        <w:rPr>
          <w:b/>
        </w:rPr>
        <w:t xml:space="preserve">Power of personal representative of deceased member</w:t>
      </w:r>
    </w:p>
    <w:p>
      <w:pPr>
        <w:jc w:val="both"/>
        <w:spacing w:before="100" w:after="100"/>
        <w:ind w:start="360"/>
        <w:ind w:firstLine="360"/>
      </w:pPr>
      <w:r>
        <w:rPr/>
      </w:r>
      <w:r>
        <w:rPr/>
      </w:r>
      <w:r>
        <w:t xml:space="preserve">If a member dies, the deceased member's personal representative or other legal representative may, for purposes of settling the estate, exercise the rights of a current member under </w:t>
      </w:r>
      <w:r>
        <w:t>section 1558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§1574. Power of personal representative of deceased member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§1574. Power of personal representative of deceased member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§1574. POWER OF PERSONAL REPRESENTATIVE OF DECEASED MEMBER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