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HISTORY AND OBSERVANCES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Employment of historian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§36 (RP). PL 1987, c. 737, §§A1,C106 (RP). PL 1989, c. 6 (AMD). PL 1989, c. 9, §2 (AMD). PL 1989, c. 104, §§C8,C10 (AMD). </w:t>
      </w:r>
    </w:p>
    <w:p>
      <w:pPr>
        <w:jc w:val="both"/>
        <w:spacing w:before="100" w:after="100"/>
        <w:ind w:start="1080" w:hanging="720"/>
      </w:pPr>
      <w:r>
        <w:rPr>
          <w:b/>
        </w:rPr>
        <w:t>§</w:t>
        <w:t>3602</w:t>
        <w:t xml:space="preserve">.  </w:t>
      </w:r>
      <w:r>
        <w:rPr>
          <w:b/>
        </w:rPr>
        <w:t xml:space="preserve">Decoration of veterans' graves on Memorial Day; erection of flag poles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3603</w:t>
        <w:t xml:space="preserve">.  </w:t>
      </w:r>
      <w:r>
        <w:rPr>
          <w:b/>
        </w:rPr>
        <w:t xml:space="preserve">Old Home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223. HISTORY AND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HISTORY AND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223. HISTORY AND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