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REGIONAL COUNCILS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1994-A</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1995-A</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1996-A</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204-A.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204-A.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