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6. Board may take over loc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Board may take over loc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6. BOARD MAY TAKE OVER LOC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