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3518</w:t>
        <w:t xml:space="preserve">.  </w:t>
      </w:r>
      <w:r>
        <w:rPr>
          <w:b/>
        </w:rPr>
        <w:t xml:space="preserve">Withdrawal</w:t>
      </w:r>
    </w:p>
    <w:p>
      <w:pPr>
        <w:jc w:val="both"/>
        <w:spacing w:before="100" w:after="100"/>
        <w:ind w:start="360"/>
        <w:ind w:firstLine="360"/>
      </w:pPr>
      <w:r>
        <w:rPr/>
      </w:r>
      <w:r>
        <w:rPr/>
      </w:r>
      <w:r>
        <w:t xml:space="preserve">A municipality may withdraw from the district at the end of a fiscal year provided that it has given the board of directors at least one year's written notice of its intention to do so.  The municipality must pay its proportionate share of the current indebtedness of the district before withdrawal and must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which may be made by the district. The proportionate share of the withdrawing municipality in any current and long-term indebtedness of the district shall be in accordance with the formula then in effect for payment of the current and long-term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§3518.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§3518.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§3518.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