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Tax status</w:t>
      </w:r>
    </w:p>
    <w:p>
      <w:pPr>
        <w:jc w:val="both"/>
        <w:spacing w:before="100" w:after="100"/>
        <w:ind w:start="360"/>
        <w:ind w:firstLine="360"/>
      </w:pPr>
      <w:r>
        <w:rPr/>
      </w:r>
      <w:r>
        <w:rPr/>
      </w:r>
      <w:r>
        <w:t xml:space="preserve">Regional councils established in accordance with this Title are tax-exempt institutions which are exempt only from income and sales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Tax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Tax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§2304. TAX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