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1112</w:t>
        <w:t xml:space="preserve">.  </w:t>
      </w:r>
      <w:r>
        <w:rPr>
          <w:b/>
        </w:rPr>
        <w:t xml:space="preserve">Identification number</w:t>
      </w:r>
    </w:p>
    <w:p>
      <w:pPr>
        <w:jc w:val="both"/>
        <w:spacing w:before="100" w:after="100"/>
        <w:ind w:start="360"/>
        <w:ind w:firstLine="360"/>
      </w:pPr>
      <w:r>
        <w:rPr/>
      </w:r>
      <w:r>
        <w:rPr/>
      </w:r>
      <w:r>
        <w:t xml:space="preserve">A recycler may not possess or exercise control over a vehicle or vehicle part that has had the vehicle identification number removed.  It is not a defense that the recycler did not know that the vehicle identification number had been removed.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§1112. Identification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§1112. Identification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§1112. IDENTIFICATION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