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2. STATE MUSEUM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