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w:t>
        <w:t xml:space="preserve">.  </w:t>
      </w:r>
      <w:r>
        <w:rPr>
          <w:b/>
        </w:rPr>
        <w:t xml:space="preserve">Right of public employees to join or refrain from joining labor organizations</w:t>
      </w:r>
    </w:p>
    <w:p>
      <w:pPr>
        <w:jc w:val="both"/>
        <w:spacing w:before="100" w:after="100"/>
        <w:ind w:start="360"/>
        <w:ind w:firstLine="360"/>
      </w:pPr>
      <w:r>
        <w:rPr/>
      </w:r>
      <w:r>
        <w:rPr/>
      </w:r>
      <w:r>
        <w:t xml:space="preserve">A person may not directly or indirectly interfere with, intimidate, restrain, coerce or discriminate against a public employee or a group of public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§2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§2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2007, c. 415,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§963. Right of public employees to join or refrain from joining labor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 Right of public employees to join or refrain from joining labor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§963. RIGHT OF PUBLIC EMPLOYEES TO JOIN OR REFRAIN FROM JOINING LABOR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