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Use of fund</w:t>
      </w:r>
    </w:p>
    <w:p>
      <w:pPr>
        <w:jc w:val="both"/>
        <w:spacing w:before="100" w:after="100"/>
        <w:ind w:start="360"/>
        <w:ind w:firstLine="360"/>
      </w:pPr>
      <w:r>
        <w:rPr/>
      </w:r>
      <w:r>
        <w:rPr/>
      </w:r>
      <w:r>
        <w:t xml:space="preserve">The special fund in the State Treasury known as the Unemployment Compensation Administration Fund, as heretofore created, shall hereafter be known as the Employment Security Administration Fund. All moneys which are deposited or paid into this fund are appropriated and made available to the commissioner. All moneys in this fund shall be expended solely for the purpose of defraying the cost of the administration of this chapter, and for no other purpose whatsoever. The fund shall consist of all moneys appropriated by this State, and all moneys received from the United States of America, or any agency thereof, including the Social Security Board, Railroad Retirement Board and the United States Employment Service, or from any other source, for such purpose. Moneys received from the Railroad Retirement Board as compensation for services or facilities supplied to said board shall be paid into this fund on the same basis as expenditures are made for such services or facilities from such fund. All moneys in this fund shall be deposited, administered and disbursed in the same manner and under the same conditions and requirements as is provided by law for other special funds in the State Treasury. Any balances in this fund shall not lapse at any time, but shall be continuously available to the commissioner for expenditure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1979, c. 651, §§ 45,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579, §44 (AMD). PL 1979, c. 651, §§45,47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Use of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Use of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§1111. USE OF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