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9-B</w:t>
      </w:r>
    </w:p>
    <w:p>
      <w:pPr>
        <w:jc w:val="center"/>
        <w:ind w:start="360"/>
        <w:spacing w:before="300" w:after="300"/>
      </w:pPr>
      <w:r>
        <w:rPr>
          <w:b/>
        </w:rPr>
        <w:t xml:space="preserve">STATE EMPLOYEES LABOR RELATIONS ACT</w:t>
      </w:r>
    </w:p>
    <w:p>
      <w:pPr>
        <w:jc w:val="both"/>
        <w:spacing w:before="100" w:after="100"/>
        <w:ind w:start="1080" w:hanging="720"/>
      </w:pPr>
      <w:r>
        <w:rPr>
          <w:b/>
        </w:rPr>
        <w:t>§</w:t>
        <w:t>979</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the State and its employees and between the Legislature and its employees by providing a uniform basis for recognizing the right of state or legislative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1997, c. 741, §1 (AMD); PL 1997, c. 741,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§1 (AMD). PL 1997, c. 741, §12 (AFF). </w:t>
      </w:r>
    </w:p>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§§7-9 (AMD).]</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w:t>
      </w:r>
    </w:p>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said 45-day period, either party may petition the board to initiate compulsory final and binding arbitration of the negotiations impasse. On receipt of the petition, the executive director of the board shall investigate to determine if an impasse has been reached. If he so determines, he shall issue an order requiring arbitration and requesting the parties to select one or more arbitrators. If the parties within 10 days after the issuance of the order have not selected an arbitrator or a Board of Arbitration, the board shall then order each party to select one arbitrator, and if these 2 arbitrators cannot in 5 days select a 3rd neutral arbitrator, the board shall submit a list from which the parties may alternately strike names until a single name is left, who shall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shall have a period of 30 days from the termination of the hearing in which to submit his report to the parties and to the board, unless the aforesaid time limitation shall be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§7 (AMD); PL 1997, c. 741, §12 (AFF).]</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w:t>
      </w:r>
    </w:p>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his designee shall make the determination, except that anyone excepted from the definition of state employee under </w:t>
      </w:r>
      <w:r>
        <w:t>section 979‑A</w:t>
      </w:r>
      <w:r>
        <w:t xml:space="preserve"> may not be included in a bargaining unit. The executive director or his designee conducting unit determination proceedings shall have the power to administer oaths and to require by subpoena the attendance and testimony of witnesses, the production of books, records and other evidence relative or pertinent to the issues represented to them. 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§8 (AMD).]</w:t>
      </w:r>
    </w:p>
    <w:p>
      <w:pPr>
        <w:jc w:val="both"/>
        <w:spacing w:before="100" w:after="0"/>
        <w:ind w:start="360"/>
        <w:ind w:firstLine="360"/>
      </w:pPr>
      <w:r>
        <w:rPr>
          <w:b/>
        </w:rPr>
        <w:t>2</w:t>
        <w:t xml:space="preserve">.  </w:t>
      </w:r>
      <w:r>
        <w:rPr>
          <w:b/>
        </w:rPr>
      </w:r>
      <w:r>
        <w:t xml:space="preserve"> </w:t>
      </w:r>
      <w:r>
        <w:t xml:space="preserve">In order to insure to employees the fullest freedom in exercising the rights guaranteed by this chapter, to insure a clear and identifiable community of interest among employees concerned, and to avoid excessive fragmentation among bargaining units in State Government, the executive director of the board or his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§1 (AMD).]</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w:t>
      </w:r>
    </w:p>
    <w:p>
      <w:pPr>
        <w:jc w:val="both"/>
        <w:spacing w:before="100" w:after="100"/>
        <w:ind w:start="1080" w:hanging="720"/>
      </w:pPr>
      <w:r>
        <w:rPr>
          <w:b/>
        </w:rPr>
        <w:t>§</w:t>
        <w:t>979-F</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state employee organization may file a request with the public employer alleging that a majority of the state employees in an appropriate bargaining unit wish to be represented for the purpose of collective bargaining between the public employer and the employees' organization. Such request shall describe the grouping of jobs or positions which constitute the unit claimed to be appropriate and shall include a demonstration of majority support. Such request for recognition shall be granted by the public employer unless the public employer desires that an election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of the board or his designee upon signed request of a public employer alleging that one or more state employees or state employee organizations have presented to it a claim to be recognized as the representative of a bargaining unit of state employees, or upon signed petition of at least 30% of a bargaining unit of state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provided, nevertheless, that the procedures adopted and employed by the Maine Labor Relations Board shall maintain the anonymity of the voter from both the employee organizations and the management representatives involved.</w:t>
      </w:r>
      <w:r>
        <w:t xml:space="preserve">  </w:t>
      </w:r>
      <w:r xmlns:wp="http://schemas.openxmlformats.org/drawingml/2010/wordprocessingDrawing" xmlns:w15="http://schemas.microsoft.com/office/word/2012/wordml">
        <w:rPr>
          <w:rFonts w:ascii="Arial" w:hAnsi="Arial" w:cs="Arial"/>
          <w:sz w:val="22"/>
          <w:szCs w:val="22"/>
        </w:rPr>
        <w:t xml:space="preserve">[PL 1975, c. 612, §2 (AMD).]</w:t>
      </w:r>
    </w:p>
    <w:p>
      <w:pPr>
        <w:jc w:val="both"/>
        <w:spacing w:before="100" w:after="0"/>
        <w:ind w:start="720"/>
      </w:pPr>
      <w:r>
        <w:rPr/>
        <w:t>B</w:t>
        <w:t xml:space="preserve">.  </w:t>
      </w:r>
      <w:r>
        <w:rPr/>
      </w:r>
      <w:r>
        <w:t xml:space="preserve">The ballot shall contain the name of such organization and that of any other organization showing written proof of at least 10% representation of the state employees within the unit, together with a choice for any state employee to designate that he does not desire to be represented by any bargaining agent. Where more than one organization is on the ballot and no one of the 3 or more choices receives a majority vote of the state employees voting, a run-off election shall be held. The run-off ballot shall contain the 2 choices which received the largest and 2nd largest number of votes. When an organization receives the majority of votes of those voting, the executive director of the board shall certify it as the bargaining agent. The bargaining agent certified as representing a bargaining unit shall be recognized by the public employer as the sole and exclusive bargaining agent for all of the employees in the bargaining unit unless and until a decertification election by secret ballot shall be held and the bargaining agent declared by the executive director of the board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Whenever 30% of the employees in a certified bargaining unit petition for a bargaining agent to be decertified, the procedures for conducting an election on the question shall be the same as for representation as bargaining agent hereinbefore set forth.</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nor less than 60 days prior to the expiration date of the agreement. Unit clarification proceedings are not subject to this time limitation and may be brought at any time consistent with </w:t>
      </w:r>
      <w:r>
        <w:t>section 979‑E,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277 (AMD).]</w:t>
      </w:r>
    </w:p>
    <w:p>
      <w:pPr>
        <w:jc w:val="both"/>
        <w:spacing w:before="100" w:after="0"/>
        <w:ind w:start="720"/>
      </w:pPr>
      <w:r>
        <w:rPr/>
        <w:t>E</w:t>
        <w:t xml:space="preserve">.  </w:t>
      </w:r>
      <w:r>
        <w:rPr/>
      </w:r>
      <w:r>
        <w:t xml:space="preserve">The bargaining agent certified by the executive director of the board or his designee as the exclusive bargaining agent shall be required to represent all the public employees within the unit without regard to membership in the organization certified as bargaining agent, provided that any public employee at any time may present his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§38 (AMD). PL 1975, c. 612, §§2,3 (AMD). PL 1981, c. 277 (AMD). </w:t>
      </w:r>
    </w:p>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r>
      <w:r>
        <w:t xml:space="preserve"> </w:t>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discharged, or the payment to him of any back pay, if such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§39 (AMD).]</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w:t>
      </w:r>
    </w:p>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r>
      <w:r>
        <w:t xml:space="preserve"> </w:t>
      </w:r>
      <w:r>
        <w:t xml:space="preserve">The board shall annually, on or before the first day of July, make a report to the Governor. The appropriation for the board and the executive director shall be included in the budget of the Department of Labor and authorization for expenditures shall be the responsibility of the chairman or executive director. The board shall prepare a biennial budget for submission to the Legislature for appropriations sufficient to carry out its duties. Authorization for expenditures shall be the responsibility of the board. All expenses of the board and its staff, including all necessary travelling and subsistence expenses, shall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§8 (AMD).]</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w:t>
      </w:r>
    </w:p>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979-M</w:t>
        <w:t xml:space="preserve">.  </w:t>
      </w:r>
      <w:r>
        <w:rPr>
          <w:b/>
        </w:rPr>
        <w:t xml:space="preserve">Review of arbitration awards</w:t>
      </w:r>
    </w:p>
    <w:p>
      <w:pPr>
        <w:jc w:val="both"/>
        <w:spacing w:before="100" w:after="0"/>
        <w:ind w:start="360"/>
        <w:ind w:firstLine="360"/>
      </w:pPr>
      <w:r>
        <w:rPr>
          <w:b/>
        </w:rPr>
        <w:t>1</w:t>
        <w:t xml:space="preserve">.  </w:t>
      </w:r>
      <w:r>
        <w:rPr>
          <w:b/>
        </w:rPr>
      </w:r>
      <w:r>
        <w:t xml:space="preserve"> </w:t>
      </w:r>
      <w:r>
        <w:t xml:space="preserve">Either party may seek a review by the Superior Court of a binding determination by an arbitration panel. Such review shall be sought in accordance with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3</w:t>
        <w:t xml:space="preserve">.  </w:t>
      </w:r>
      <w:r>
        <w:rPr>
          <w:b/>
        </w:rPr>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979-N</w:t>
        <w:t xml:space="preserve">.  </w:t>
      </w:r>
      <w:r>
        <w:rPr>
          <w:b/>
        </w:rPr>
        <w:t xml:space="preserve">Separability</w:t>
      </w:r>
    </w:p>
    <w:p>
      <w:pPr>
        <w:jc w:val="both"/>
        <w:spacing w:before="100" w:after="0"/>
        <w:ind w:start="360"/>
        <w:ind w:firstLine="360"/>
      </w:pPr>
      <w:r>
        <w:rPr>
          <w:b/>
        </w:rPr>
        <w:t>1</w:t>
        <w:t xml:space="preserve">.  </w:t>
      </w:r>
      <w:r>
        <w:rPr>
          <w:b/>
        </w:rPr>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Nothing in this chapter or any contract negotiated pursuant to this chapter shall in any way be interpreted or allowed to restrict or impair the eligibility of the State of Maine or any of its agencies in obtaining the benefits under any federal grant in 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9-B. STATE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9-B. STATE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9-B. STATE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