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9. CREDIT AND TITLE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