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4360</w:t>
        <w:t xml:space="preserve">.  </w:t>
      </w:r>
      <w:r>
        <w:rPr>
          <w:b/>
        </w:rPr>
        <w:t xml:space="preserve">Commencement of proceeding</w:t>
      </w:r>
    </w:p>
    <w:p>
      <w:pPr>
        <w:jc w:val="both"/>
        <w:spacing w:before="100" w:after="0"/>
        <w:ind w:start="360"/>
        <w:ind w:firstLine="360"/>
      </w:pPr>
      <w:r>
        <w:rPr>
          <w:b/>
        </w:rPr>
        <w:t>1</w:t>
        <w:t xml:space="preserve">.  </w:t>
      </w:r>
      <w:r>
        <w:rPr>
          <w:b/>
        </w:rPr>
      </w:r>
      <w:r>
        <w:t xml:space="preserve"> </w:t>
      </w:r>
      <w:r>
        <w:t xml:space="preserve">The superintendent shall commence a delinquency proceeding authorized under this chapter, the Attorney General representing him, by filing a petition in a court of proper jurisdiction praying for appointment of the superintendent as receiver of the insurer.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2</w:t>
        <w:t xml:space="preserve">.  </w:t>
      </w:r>
      <w:r>
        <w:rPr>
          <w:b/>
        </w:rPr>
      </w:r>
      <w:r>
        <w:t xml:space="preserve"> </w:t>
      </w:r>
      <w:r>
        <w:t xml:space="preserve">Upon the filing of the petition, the court shall issue an order directing the insurer to appear in court on the day fixed in the order and show cause why the petition should not be granted. Unless good cause is shown for a shorter period, the order shall require the insurer to so show cause not less than 15 or more than 30 days from date of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The order to show cause and service thereof on the insurer shall constitute due and legal process and shall be in lieu of any other process otherwise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§4360. Commencement of proceeding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§4360. Commencement of proceeding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§4360. COMMENCEMENT OF PROCEEDING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