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certificate holder, member or spouse of the certificate 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§5 (RPR).]</w:t>
      </w:r>
    </w:p>
    <w:p>
      <w:pPr>
        <w:jc w:val="both"/>
        <w:spacing w:before="100" w:after="0"/>
        <w:ind w:start="360"/>
        <w:ind w:firstLine="360"/>
      </w:pPr>
      <w:r>
        <w:rPr>
          <w:b/>
        </w:rPr>
        <w:t>2</w:t>
        <w:t xml:space="preserve">.  </w:t>
      </w:r>
      <w:r>
        <w:rPr>
          <w:b/>
        </w:rPr>
        <w:t xml:space="preserve">Coverage.</w:t>
        <w:t xml:space="preserve"> </w:t>
      </w:r>
      <w:r>
        <w:t xml:space="preserve"> </w:t>
      </w:r>
      <w:r>
        <w:t xml:space="preserve">All group or blanket health insurance plans issued in accordance with the requirements of </w:t>
      </w:r>
      <w:r>
        <w:t>section 2832</w:t>
      </w:r>
      <w:r>
        <w:t xml:space="preserve"> must provide unmarried women certificate holders with the option of coverage of their children from the date of birth.  A certificate holder who, pursuant to the laws of this State or any other state, has been adjudicated or has acknowledged the certificate holder to be the father of an illegitimate child must be given the option of coverage for that child from the date of the certificate holder's adjudication or acknowledgement of paternity.  This optional coverage must be the same as that provided the children of a married certificate holder with family or dependent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§248 (COR).]</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certificate holder or the spouse of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§4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group or blanket health insurance policies and certificates issued in accordance with the requirements of this section must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1979, c. 663, §147 (AMD). PL 1985, c. 652, §52 (AMD). PL 1991, c. 200, §B4 (RPR). PL 1993, c. 666, §§A5,6 (AMD). RR 2021, c. 1, Pt. B, §248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§2833. Child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 Child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 CHILD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