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Scope of chapter -- short title</w:t>
      </w:r>
    </w:p>
    <w:p>
      <w:pPr>
        <w:jc w:val="both"/>
        <w:spacing w:before="100" w:after="0"/>
        <w:ind w:start="360"/>
        <w:ind w:firstLine="360"/>
      </w:pPr>
      <w:r>
        <w:rPr>
          <w:b/>
        </w:rPr>
        <w:t>1</w:t>
        <w:t xml:space="preserve">.  </w:t>
      </w:r>
      <w:r>
        <w:rPr>
          <w:b/>
        </w:rPr>
      </w:r>
      <w:r>
        <w:t xml:space="preserve"> </w:t>
      </w:r>
      <w:r>
        <w:t xml:space="preserve">This chapter applies only to group life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chapter does not apply to any contracts or policies entered into or issued prior to August 6, 1949 nor to any extensions, renewals or modifications thereof or amendments thereto whenever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This chapter may be known and cited as the "Group Life Insurance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§2601. Scope of chapter --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Scope of chapter --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§2601. SCOPE OF CHAPTER --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