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8120</w:t>
        <w:t xml:space="preserve">.  </w:t>
      </w:r>
      <w:r>
        <w:rPr>
          <w:b/>
        </w:rPr>
        <w:t xml:space="preserve">Employees</w:t>
      </w:r>
    </w:p>
    <w:p>
      <w:pPr>
        <w:jc w:val="both"/>
        <w:spacing w:before="100" w:after="100"/>
        <w:ind w:start="360"/>
        <w:ind w:firstLine="360"/>
      </w:pPr>
      <w:r>
        <w:rPr/>
      </w:r>
      <w:r>
        <w:rPr/>
      </w:r>
      <w:r>
        <w:t xml:space="preserve">Employees of the Northern New England Passenger Rail Authority are subject to the state retirement provisions of </w:t>
      </w:r>
      <w:r>
        <w:t>Title 5, Part 20</w:t>
      </w:r>
      <w:r>
        <w:t xml:space="preserve"> and the state employee health insurance program under </w:t>
      </w:r>
      <w:r>
        <w:t>Title 5, chapter 13,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152, Pt. E, §4 (NEW).]</w:t>
      </w:r>
    </w:p>
    <w:p>
      <w:pPr>
        <w:jc w:val="both"/>
        <w:spacing w:before="100" w:after="100"/>
        <w:ind w:start="360"/>
        <w:ind w:firstLine="360"/>
      </w:pPr>
      <w:r>
        <w:rPr/>
      </w:r>
      <w:r>
        <w:rPr/>
      </w:r>
      <w:r>
        <w:t xml:space="preserve">The retirement accounts of state employees transferred to the authority in its capacity as an independent agency must remain in the state regular plan.  New employees of the authority shall also become members of the Maine Public Employees Retirement System under the state regular plan.  The authority shall make employer retirement plan contributions at the state regular plan rate.  Employee retirement plan contributions must be at the state regular plan rate.</w:t>
      </w:r>
      <w:r>
        <w:t xml:space="preserve">  </w:t>
      </w:r>
      <w:r xmlns:wp="http://schemas.openxmlformats.org/drawingml/2010/wordprocessingDrawing" xmlns:w15="http://schemas.microsoft.com/office/word/2012/wordml">
        <w:rPr>
          <w:rFonts w:ascii="Arial" w:hAnsi="Arial" w:cs="Arial"/>
          <w:sz w:val="22"/>
          <w:szCs w:val="22"/>
        </w:rPr>
        <w:t xml:space="preserve">[PL 1999, c. 152, Pt. E, §4 (NEW); PL 2007, c. 58, §3 (REV).]</w:t>
      </w:r>
    </w:p>
    <w:p>
      <w:pPr>
        <w:jc w:val="both"/>
        <w:spacing w:before="100" w:after="100"/>
        <w:ind w:start="360"/>
        <w:ind w:firstLine="360"/>
      </w:pPr>
      <w:r>
        <w:rPr/>
      </w:r>
      <w:r>
        <w:rPr/>
      </w:r>
      <w:r>
        <w:t xml:space="preserve">The accrued fringe benefits of state employees transferred to the authority in its capacity as an independent agency, including vacation and sick leave, health and life insurance and retirement, remain with the transferred employee.</w:t>
      </w:r>
      <w:r>
        <w:t xml:space="preserve">  </w:t>
      </w:r>
      <w:r xmlns:wp="http://schemas.openxmlformats.org/drawingml/2010/wordprocessingDrawing" xmlns:w15="http://schemas.microsoft.com/office/word/2012/wordml">
        <w:rPr>
          <w:rFonts w:ascii="Arial" w:hAnsi="Arial" w:cs="Arial"/>
          <w:sz w:val="22"/>
          <w:szCs w:val="22"/>
        </w:rPr>
        <w:t xml:space="preserve">[PL 1999, c. 152, Pt. E, §4 (NEW).]</w:t>
      </w:r>
    </w:p>
    <w:p>
      <w:pPr>
        <w:jc w:val="both"/>
        <w:spacing w:before="100" w:after="100"/>
        <w:ind w:start="360"/>
        <w:ind w:firstLine="360"/>
      </w:pPr>
      <w:r>
        <w:rPr/>
      </w:r>
      <w:r>
        <w:rPr/>
      </w:r>
      <w:r>
        <w:t xml:space="preserve">Authority employees are entitled to receive the same retirement health benefits as state employees.</w:t>
      </w:r>
      <w:r>
        <w:t xml:space="preserve">  </w:t>
      </w:r>
      <w:r xmlns:wp="http://schemas.openxmlformats.org/drawingml/2010/wordprocessingDrawing" xmlns:w15="http://schemas.microsoft.com/office/word/2012/wordml">
        <w:rPr>
          <w:rFonts w:ascii="Arial" w:hAnsi="Arial" w:cs="Arial"/>
          <w:sz w:val="22"/>
          <w:szCs w:val="22"/>
        </w:rPr>
        <w:t xml:space="preserve">[PL 1999, c. 152, Pt. E,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152, §E4 (NEW). PL 2007, c. 58,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§8120.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§8120.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§8120.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