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8118</w:t>
        <w:t xml:space="preserve">.  </w:t>
      </w:r>
      <w:r>
        <w:rPr>
          <w:b/>
        </w:rPr>
        <w:t xml:space="preserve">Property of the authority</w:t>
      </w:r>
    </w:p>
    <w:p>
      <w:pPr>
        <w:jc w:val="both"/>
        <w:spacing w:before="100" w:after="0"/>
        <w:ind w:start="360"/>
        <w:ind w:firstLine="360"/>
      </w:pPr>
      <w:r>
        <w:rPr>
          <w:b/>
        </w:rPr>
        <w:t>1</w:t>
        <w:t xml:space="preserve">.  </w:t>
      </w:r>
      <w:r>
        <w:rPr>
          <w:b/>
        </w:rPr>
        <w:t xml:space="preserve">Property of the authority.</w:t>
        <w:t xml:space="preserve"> </w:t>
      </w:r>
      <w:r>
        <w:t xml:space="preserve"> </w:t>
      </w:r>
      <w:r>
        <w:t xml:space="preserve">All property of the authority pursuant to the provisions of this chapter is exempt from levy and sale by virtue of any execution and an execution or other judicial process is not a valid lien upon its property held pursuant to the provisions of this chapter.   The authority may use its property only for the purposes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Entry upon lands.</w:t>
        <w:t xml:space="preserve"> </w:t>
      </w:r>
      <w:r>
        <w:t xml:space="preserve"> </w:t>
      </w:r>
      <w:r>
        <w:t xml:space="preserve">The authority and its authorized agents and employees may enter upon any lands, waters and premises in the State for the purpose of making surveys, soundings, drillings and examinations as it determines necessary or convenient for the purpose of this chapter and the entry may not be deemed a trespass nor is the authority liable for the discovery of any form of waste or environmental contamination.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3</w:t>
        <w:t xml:space="preserve">.  </w:t>
      </w:r>
      <w:r>
        <w:rPr>
          <w:b/>
        </w:rPr>
        <w:t xml:space="preserve">Authority for transfer of interest in land to the authority.</w:t>
        <w:t xml:space="preserve"> </w:t>
      </w:r>
      <w:r>
        <w:t xml:space="preserve"> </w:t>
      </w:r>
      <w:r>
        <w:t xml:space="preserve">Any county, municipality or other political subdivision, any public agency or commission of the State and any public service corporation or district, notwithstanding any contrary provisions of law, may lease, lend, grant or convey to the authority, upon its request and upon such terms and conditions as the proper authorities of the political subdivision, agency, commission, public service corporation or district determine reasonable and fair, any real or personal property or rights in the property that are necessary or convenient to the effectuation of the authorized purposes of the authority, including real and personal property or rights in the property already devoted to public use.  As used in the subsection, the term "public service corporation" includes a public utility as defined in </w:t>
      </w:r>
      <w:r>
        <w:t>Title 35‑A, section 102, subsection 13</w:t>
      </w:r>
      <w:r>
        <w:t xml:space="preserve"> and a corporation referred to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§41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RR 2001, c. 2, §B41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§8118. Property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§8118. Property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§8118. PROPERTY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