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§7220. Speed limit at highway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§7220. Speed limit at highway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§7220. SPEED LIMIT AT HIGHWAY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