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6015</w:t>
        <w:t xml:space="preserve">.  </w:t>
      </w:r>
      <w:r>
        <w:rPr>
          <w:b/>
        </w:rPr>
        <w:t xml:space="preserve">Service of process and notice</w:t>
      </w:r>
    </w:p>
    <w:p>
      <w:pPr>
        <w:jc w:val="both"/>
        <w:spacing w:before="100" w:after="100"/>
        <w:ind w:start="360"/>
        <w:ind w:firstLine="360"/>
      </w:pPr>
      <w:r>
        <w:rPr/>
      </w:r>
      <w:r>
        <w:rPr/>
      </w:r>
      <w:r>
        <w:t xml:space="preserve">Service of process and notice may be made as process is served in other actions. Service of an injunction issued against any person, whether a party to the action or not, may be made upon him and he shall be liable to all the penalties and consequences provided for a breach of it.</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§6015. Service of process and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§6015. Service of process and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§6015. SERVICE OF PROCESS AND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