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6009</w:t>
        <w:t xml:space="preserve">.  </w:t>
      </w:r>
      <w:r>
        <w:rPr>
          <w:b/>
        </w:rPr>
        <w:t xml:space="preserve">Cattle guards and passes; double damages</w:t>
      </w:r>
    </w:p>
    <w:p>
      <w:pPr>
        <w:jc w:val="both"/>
        <w:spacing w:before="100" w:after="100"/>
        <w:ind w:start="360"/>
        <w:ind w:firstLine="360"/>
      </w:pPr>
      <w:r>
        <w:rPr/>
      </w:r>
      <w:r>
        <w:rPr/>
      </w:r>
      <w:r>
        <w:t xml:space="preserve">The county commissioners shall order the corporation to make and maintain such cattle guards, cattle passes and farm crossings as they think reasonable and prescribe the time and manner of making them and consider this work in awarding pecuniary damages. If the corporation after 48 hours' notice in writing to its president or superintendent neglects to commence the work or complete it within a reasonable time, the owner may apply to the Superior Court and the court, after due notice to the corporation, shall issue all necessary processes to enforce the specific performance of the orders or restrain it by injunction or the party interested may recover, in a civil action, double the damage that he has sustained by the neglect.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§6009. Cattle guards and passes; double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§6009. Cattle guards and passes; double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§6009. CATTLE GUARDS AND PASSES; DOUBLE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