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Bridge capital improvement priorities</w:t>
      </w:r>
    </w:p>
    <w:p>
      <w:pPr>
        <w:jc w:val="both"/>
        <w:spacing w:before="100" w:after="100"/>
        <w:ind w:start="360"/>
        <w:ind w:firstLine="360"/>
      </w:pPr>
      <w:r>
        <w:rPr/>
      </w:r>
      <w:r>
        <w:rPr/>
      </w:r>
      <w:r>
        <w:t xml:space="preserve">The department shall biennially prepare a list of bridges that are eligible for capital improvement under this subchapter, arranged in priority order using accepted bridge management principles and as constrained by available funding.  The department is the final arbiter as to whether any bridge is placed on the list.  The department shall consult with municipalities regarding the manner of improving low use bridges on town ways and redundant bridges on town 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§567. Bridge capital improvement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Bridge capital improvement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§567. BRIDGE CAPITAL IMPROVEMENT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