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5186</w:t>
        <w:t xml:space="preserve">.  </w:t>
      </w:r>
      <w:r>
        <w:rPr>
          <w:b/>
        </w:rPr>
        <w:t xml:space="preserve">Holders of unpaid scrip and bonds may foreclose mortgages</w:t>
      </w:r>
    </w:p>
    <w:p>
      <w:pPr>
        <w:jc w:val="both"/>
        <w:spacing w:before="100" w:after="100"/>
        <w:ind w:start="360"/>
        <w:ind w:firstLine="360"/>
      </w:pPr>
      <w:r>
        <w:rPr/>
      </w:r>
      <w:r>
        <w:rPr/>
      </w:r>
      <w:r>
        <w:t xml:space="preserve">A corporation formed by the holders of the scrip or bonds, or if no such corporation has been formed, the holders of not less than a majority of the scrip or bonds, may commence a civil action to foreclose the mortgage and the court may decree a foreclosure thereof, unless the arrears are paid within such time as the court orders.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§5186. Holders of unpaid scrip and bonds may foreclose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§5186. Holders of unpaid scrip and bonds may foreclose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§5186. HOLDERS OF UNPAID SCRIP AND BONDS MAY FORECLOSE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