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5173</w:t>
        <w:t xml:space="preserve">.  </w:t>
      </w:r>
      <w:r>
        <w:rPr>
          <w:b/>
        </w:rPr>
        <w:t xml:space="preserve">Noncontributors; notice; rights</w:t>
      </w:r>
    </w:p>
    <w:p>
      <w:pPr>
        <w:jc w:val="both"/>
        <w:spacing w:before="100" w:after="100"/>
        <w:ind w:start="360"/>
        <w:ind w:firstLine="360"/>
      </w:pPr>
      <w:r>
        <w:rPr/>
      </w:r>
      <w:r>
        <w:rPr/>
      </w:r>
      <w:r>
        <w:t xml:space="preserve">The stockholders, redeeming, shall give notice to the stockholders who have not contributed to the redemption and the latter shall have the same rights as provided in the case of bondholders.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§5173. Noncontributors; notice;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§5173. Noncontributors; notice;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§5173. NONCONTRIBUTORS; NOTICE;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