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§4405. Student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Student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§4405. STUDENT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