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Bridle paths and trails; damages</w:t>
      </w:r>
    </w:p>
    <w:p>
      <w:pPr>
        <w:jc w:val="both"/>
        <w:spacing w:before="100" w:after="100"/>
        <w:ind w:start="360"/>
        <w:ind w:firstLine="360"/>
      </w:pPr>
      <w:r>
        <w:rPr/>
      </w:r>
      <w:r>
        <w:rPr/>
      </w:r>
      <w:r>
        <w:t xml:space="preserve">Bridle paths and trails may be laid out, altered or discontinued by any town or city within such town or city on petition therefor in the same manner as is provided by law for the laying out, altering or discontinuing of town ways in a town or city streets in a city, except that no cultivated or improved land shall be taken without the consent of the owner and a 2/3 vote shall be required for the acceptance of such paths and trails by any town. All provisions now in force as to assessment of damages and appeal therefrom in cases of laying out, altering and discontinuing town ways in towns or city streets shall apply to laying out, altering and discontinuing bridle paths and trails, except that the petitioners shall have no right of appeal.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§3151. Bridle paths and trails;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Bridle paths and trails;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§3151. BRIDLE PATHS AND TRAILS;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