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inhabitants of any town or village corporation at a legal town or village corporation meeting may authorize the municipal officers of the town or assessors of the village corporation to use its highway equipment on private ways within such town or village corporation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2009,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§3105-A. Use of town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Use of town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§3105-A. USE OF TOWN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