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Record</w:t>
      </w:r>
    </w:p>
    <w:p>
      <w:pPr>
        <w:jc w:val="both"/>
        <w:spacing w:before="100" w:after="100"/>
        <w:ind w:start="360"/>
        <w:ind w:firstLine="360"/>
      </w:pPr>
      <w:r>
        <w:rPr/>
      </w:r>
      <w:r>
        <w:rPr/>
      </w:r>
      <w:r>
        <w:t xml:space="preserve">When streets, roads or sidewalks have been so designated under </w:t>
      </w:r>
      <w:r>
        <w:t>section 2851</w:t>
      </w:r>
      <w:r>
        <w:t xml:space="preserve">, the municipal officers shall cause such designation and such reasonable restrictions as they may adopt to be recorded in the records of the town and their action shall be in force until modified or annulled by like authority.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§2852.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§2852.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