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2154</w:t>
        <w:t xml:space="preserve">.  </w:t>
      </w:r>
      <w:r>
        <w:rPr>
          <w:b/>
        </w:rPr>
        <w:t xml:space="preserve">Proceedings on appeal</w:t>
      </w:r>
    </w:p>
    <w:p>
      <w:pPr>
        <w:jc w:val="both"/>
        <w:spacing w:before="100" w:after="100"/>
        <w:ind w:start="360"/>
        <w:ind w:firstLine="360"/>
      </w:pPr>
      <w:r>
        <w:rPr/>
      </w:r>
      <w:r>
        <w:rPr/>
      </w:r>
      <w:r>
        <w:t xml:space="preserve">When an appeal is taken as provided for in </w:t>
      </w:r>
      <w:r>
        <w:t>section 2153</w:t>
      </w:r>
      <w:r>
        <w:t xml:space="preserve">, it shall be filed with the commissioners of, and subsequent proceedings shall be had in, the county where proceedings originated, and the commissioners with whom such appeal is filed shall immediately give notice of such appeal to the commissioners of all the counties interested, and the clerk of courts shall certify the final judgment of court to the commissioners of all said counties.</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§2154. Proceedings on appeal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§2154. Proceedings on appeal</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§2154. PROCEEDINGS ON APPEAL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