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1917-B</w:t>
        <w:t xml:space="preserve">.  </w:t>
      </w:r>
      <w:r>
        <w:rPr>
          <w:b/>
        </w:rPr>
        <w:t xml:space="preserve">Unlawful removal of temporary signs</w:t>
      </w:r>
    </w:p>
    <w:p>
      <w:pPr>
        <w:jc w:val="both"/>
        <w:spacing w:before="100" w:after="100"/>
        <w:ind w:start="360"/>
        <w:ind w:firstLine="360"/>
      </w:pPr>
      <w:r>
        <w:rPr/>
      </w:r>
      <w:r>
        <w:rPr/>
      </w:r>
      <w:r>
        <w:t xml:space="preserve">A person who takes, defaces or disturbs a sign placed within the public right-of-way in accordance with </w:t>
      </w:r>
      <w:r>
        <w:t>section 1913‑A, subsection 1, paragraph L</w:t>
      </w:r>
      <w:r>
        <w:t xml:space="preserve"> commits a civil violation for which a fine of up to $250 may be adjudged.  This section does not apply to a person authorized to remove signs placed within the public right-of-way in accordance with </w:t>
      </w:r>
      <w:r>
        <w:t>section 1913‑A, subsection 1, 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§1917-B. Unlawful removal of temporary signs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§1917-B. Unlawful removal of temporary signs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§1917-B. UNLAWFUL REMOVAL OF TEMPORARY SIGNS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