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Municipal, county or Indian reservation requirements</w:t>
      </w:r>
    </w:p>
    <w:p>
      <w:pPr>
        <w:jc w:val="both"/>
        <w:spacing w:before="100" w:after="100"/>
        <w:ind w:start="360"/>
        <w:ind w:firstLine="360"/>
      </w:pPr>
      <w:r>
        <w:rPr/>
      </w:r>
      <w:r>
        <w:rPr/>
      </w:r>
      <w:r>
        <w:t xml:space="preserve">To be eligible to receive funds from the Local Road Assistance Program, each municipality, county or Indian reservation shall, prior to November 1st each year, certify in a manner acceptable to the department that the funds are used in a manner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2019, c. 173,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§C26 (NEW). PL 1999, c. 473, §D5 (AMD). PL 2011, c. 652, §8 (AMD). PL 2011, c. 652, §14 (AFF). PL 2019, c. 173,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§1804. Municipal, county or Indian reservation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Municipal, county or Indian reservation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§1804. MUNICIPAL, COUNTY OR INDIAN RESERVATION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