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w:t>
        <w:t xml:space="preserve">.  </w:t>
      </w:r>
      <w:r>
        <w:rPr>
          <w:b/>
        </w:rPr>
        <w:t xml:space="preserve">Definition</w:t>
      </w:r>
    </w:p>
    <w:p>
      <w:pPr>
        <w:jc w:val="both"/>
        <w:spacing w:before="100" w:after="100"/>
        <w:ind w:start="360"/>
        <w:ind w:firstLine="360"/>
      </w:pPr>
      <w:r>
        <w:rPr/>
      </w:r>
      <w:r>
        <w:rPr/>
      </w:r>
      <w:r>
        <w:t xml:space="preserve">To provide funds for the construction of state, state aid and town ways, for the maintenance of state and state aid highways, and interstate, intrastate and international bridges, and for other items of expenditure specified, there is established a fund to be known as the General Highway Fund. This fund shall include all fees received from the registration of motor vehicles and licensing of operators thereof, all fees accruing to the Treasurer of State under </w:t>
      </w:r>
      <w:r>
        <w:t>Title 25, section 1502</w:t>
      </w:r>
      <w:r>
        <w:t xml:space="preserve">, the receipts from the tax on internal combustion engine fuels, and all sums received on account of the department for permits to open highways, or from other sources, the disposition of which is not otherwise designated by law. After payment from said General Highway Fund of such sums for interest and retirement as are necessary to meet the provisions of bond issues for state highway and bridge construction, the remainder of said fund shall be segregated, apportioned and expended as provided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§1651.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