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Cities and towns</w:t>
      </w:r>
    </w:p>
    <w:p>
      <w:pPr>
        <w:jc w:val="both"/>
        <w:spacing w:before="100" w:after="100"/>
        <w:ind w:start="360"/>
        <w:ind w:firstLine="360"/>
      </w:pPr>
      <w:r>
        <w:rPr/>
      </w:r>
      <w:r>
        <w:rPr/>
      </w:r>
      <w:r>
        <w:t xml:space="preserve">Suitable markers shall be placed by the department on all trunk line roads and all state aid roads, designating the point of entry and exit to and from the several cities and towns along the lines of said highways.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cost to the State for carrying out this section shall be paid from funds available for the maintenance of state and state aid highways.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Cities and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Cities and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§1203. CITIES AND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