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Confidentiality</w:t>
      </w:r>
    </w:p>
    <w:p>
      <w:pPr>
        <w:jc w:val="both"/>
        <w:spacing w:before="100" w:after="100"/>
        <w:ind w:start="360"/>
        <w:ind w:firstLine="360"/>
      </w:pPr>
      <w:r>
        <w:rPr/>
      </w:r>
      <w:r>
        <w:rPr/>
      </w:r>
      <w:r>
        <w:t xml:space="preserve">A criminal background check record and other personally identifiable information provided to an employer in compliance with this chapter are confidential. An employer may use this information only to determine the eligibility of an individual for new or continued employment, and the personally identifiable information or background check record may not be disseminated in any way that does not comply with this chapter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§9061.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§9061.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