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8755</w:t>
        <w:t xml:space="preserve">.  </w:t>
      </w:r>
      <w:r>
        <w:rPr>
          <w:b/>
        </w:rPr>
        <w:t xml:space="preserve">Compliance</w:t>
      </w:r>
    </w:p>
    <w:p>
      <w:pPr>
        <w:jc w:val="both"/>
        <w:spacing w:before="100" w:after="0"/>
        <w:ind w:start="360"/>
        <w:ind w:firstLine="360"/>
      </w:pPr>
      <w:r>
        <w:rPr>
          <w:b/>
        </w:rPr>
        <w:t>1</w:t>
        <w:t xml:space="preserve">.  </w:t>
      </w:r>
      <w:r>
        <w:rPr>
          <w:b/>
        </w:rPr>
        <w:t xml:space="preserve">Oversight.</w:t>
        <w:t xml:space="preserve"> </w:t>
      </w:r>
      <w:r>
        <w:t xml:space="preserve"> </w:t>
      </w:r>
      <w:r>
        <w:t xml:space="preserve">The division shall place primary emphasis on ensuring effective corrective action by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§7 (NEW).]</w:t>
      </w:r>
    </w:p>
    <w:p>
      <w:pPr>
        <w:jc w:val="both"/>
        <w:spacing w:before="100" w:after="0"/>
        <w:ind w:start="360"/>
        <w:ind w:firstLine="360"/>
      </w:pPr>
      <w:r>
        <w:rPr>
          <w:b/>
        </w:rPr>
        <w:t>2</w:t>
        <w:t xml:space="preserve">.  </w:t>
      </w:r>
      <w:r>
        <w:rPr>
          <w:b/>
        </w:rPr>
        <w:t xml:space="preserve">Penalties.</w:t>
        <w:t xml:space="preserve"> </w:t>
      </w:r>
      <w:r>
        <w:t xml:space="preserve"> </w:t>
      </w:r>
      <w:r>
        <w:t xml:space="preserve">When the division determines that a health care facility failed to report a sentinel event pursuant to this chapter, the health care facility is subject to a penalty imposed in conformance with </w:t>
      </w:r>
      <w:r>
        <w:t>Title 5, chapter 375, subchapter 4</w:t>
      </w:r>
      <w:r>
        <w:t xml:space="preserve"> and payable to the State of not more than $10,000 per violation. If the facility in good faith notified the division of a suspected sentinel event and the division later determines it is a sentinel event, the facility is not subject to a penalty for that event. Funds collected pursuant to this section must be deposited in a dedicated special revenue account to be used to support sentinel event reporting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§7 (NEW).]</w:t>
      </w:r>
    </w:p>
    <w:p>
      <w:pPr>
        <w:jc w:val="both"/>
        <w:spacing w:before="100" w:after="0"/>
        <w:ind w:start="360"/>
        <w:ind w:firstLine="360"/>
      </w:pPr>
      <w:r>
        <w:rPr>
          <w:b/>
        </w:rPr>
        <w:t>3</w:t>
        <w:t xml:space="preserve">.  </w:t>
      </w:r>
      <w:r>
        <w:rPr>
          <w:b/>
        </w:rPr>
        <w:t xml:space="preserve">Administrative hearing and appeal.</w:t>
        <w:t xml:space="preserve"> </w:t>
      </w:r>
      <w:r>
        <w:t xml:space="preserve"> </w:t>
      </w:r>
      <w:r>
        <w:t xml:space="preserve">To contest the imposition of a penalty under this section, a health care facility must submit to the division a written request for an administrative hearing within 10 days of notice of imposition of a penalty pursuant to this section. Judicial appeal must be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§7 (NEW).]</w:t>
      </w:r>
    </w:p>
    <w:p>
      <w:pPr>
        <w:jc w:val="both"/>
        <w:spacing w:before="100" w:after="0"/>
        <w:ind w:start="360"/>
        <w:ind w:firstLine="360"/>
      </w:pPr>
      <w:r>
        <w:rPr>
          <w:b/>
        </w:rPr>
        <w:t>4</w:t>
        <w:t xml:space="preserve">.  </w:t>
      </w:r>
      <w:r>
        <w:rPr>
          <w:b/>
        </w:rPr>
        <w:t xml:space="preserve">Injunction.</w:t>
        <w:t xml:space="preserve"> </w:t>
      </w:r>
      <w:r>
        <w:t xml:space="preserve"> </w:t>
      </w:r>
      <w:r>
        <w:t xml:space="preserve">Notwithstanding any other remedies provided by law, the Office of the Attorney General may seek an injunction to require compliance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§7 (NEW).]</w:t>
      </w:r>
    </w:p>
    <w:p>
      <w:pPr>
        <w:jc w:val="both"/>
        <w:spacing w:before="100" w:after="0"/>
        <w:ind w:start="360"/>
        <w:ind w:firstLine="360"/>
      </w:pPr>
      <w:r>
        <w:rPr>
          <w:b/>
        </w:rPr>
        <w:t>5</w:t>
        <w:t xml:space="preserve">.  </w:t>
      </w:r>
      <w:r>
        <w:rPr>
          <w:b/>
        </w:rPr>
        <w:t xml:space="preserve">Enforcement.</w:t>
        <w:t xml:space="preserve"> </w:t>
      </w:r>
      <w:r>
        <w:t xml:space="preserve"> </w:t>
      </w:r>
      <w:r>
        <w:t xml:space="preserve">The Office of the Attorney General may file a complaint with the District Court seeking injunctive relief for violations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678, §1 (NEW). PL 2001, c. 678, §3 (AFF). PL 2009, c. 358,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§8755.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§8755.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§8755.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