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w:t>
        <w:t xml:space="preserve">.  </w:t>
      </w:r>
      <w:r>
        <w:rPr>
          <w:b/>
        </w:rPr>
        <w:t xml:space="preserve">Fees for services provided to municipalities</w:t>
      </w:r>
    </w:p>
    <w:p>
      <w:pPr>
        <w:jc w:val="both"/>
        <w:spacing w:before="100" w:after="100"/>
        <w:ind w:start="360"/>
        <w:ind w:firstLine="360"/>
      </w:pPr>
      <w:r>
        <w:rPr/>
      </w:r>
      <w:r>
        <w:rPr/>
      </w:r>
      <w:r>
        <w:t xml:space="preserve">The department shall adopt rules to charge fees for services provided to municipalities by the Maine Center for Disease Control and Prevention pertaining to health data and vital statistics, including but not limited to fees for services, paper and supplies.  The department shall review fees charged under this section every 3 years beginning in 2013.  Rules adopted pursuant to this section are major substantive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§263. Fees for services provided to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 Fees for services provided to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§263. FEES FOR SERVICES PROVIDED TO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