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Criminal background checks</w:t>
      </w:r>
    </w:p>
    <w:p>
      <w:pPr>
        <w:jc w:val="both"/>
        <w:spacing w:before="100" w:after="100"/>
        <w:ind w:start="360"/>
      </w:pPr>
      <w:r>
        <w:rPr>
          <w:b/>
        </w:rPr>
        <w:t>(REALLOCATED FROM TITLE 22, SECTION 1723)</w:t>
      </w:r>
    </w:p>
    <w:p>
      <w:pPr>
        <w:jc w:val="both"/>
        <w:spacing w:before="100" w:after="100"/>
        <w:ind w:start="360"/>
        <w:ind w:firstLine="360"/>
      </w:pPr>
      <w:r>
        <w:rPr/>
      </w:r>
      <w:r>
        <w:rPr/>
      </w:r>
      <w:r>
        <w:t xml:space="preserve">Beginning October 1, 2010, a facility or health care provider subject to the licensing or certification processes of </w:t>
      </w:r>
      <w:r>
        <w:t>chapter 405</w:t>
      </w:r>
      <w:r>
        <w:t xml:space="preserve">, </w:t>
      </w:r>
      <w:r>
        <w:t>412</w:t>
      </w:r>
      <w:r>
        <w:t xml:space="preserve"> or 419 shall obtain, prior to hiring an individual who will work in direct contact with a consumer, criminal history record information on that individual, including, at a minimum, criminal history record information from the Department of Public Safety, State Bureau of Identification.  A facility or provider subject to licensing under </w:t>
      </w:r>
      <w:r>
        <w:t>chapter 419</w:t>
      </w:r>
      <w:r>
        <w:t xml:space="preserve"> shall conduct a comprehensive background check for individuals employed in positions that have direct access to a consumer's property, personally identifiable information, financial information or resources in accordance with applicable federal and state laws.  The comprehensive background check must be conducted in accordance with state law and rules adopted by the department.  The facility or health care provider shall pay for the comprehensive or criminal background check required by this section as applicable.</w:t>
      </w:r>
      <w:r>
        <w:t xml:space="preserve">  </w:t>
      </w:r>
      <w:r xmlns:wp="http://schemas.openxmlformats.org/drawingml/2010/wordprocessingDrawing" xmlns:w15="http://schemas.microsoft.com/office/word/2012/wordml">
        <w:rPr>
          <w:rFonts w:ascii="Arial" w:hAnsi="Arial" w:cs="Arial"/>
          <w:sz w:val="22"/>
          <w:szCs w:val="22"/>
        </w:rPr>
        <w:t xml:space="preserve">[PL 2015, c. 196, §8 (AMD); PL 2015, c. 299, §8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§49 (RAL). PL 2015, c. 196, §8 (AMD). PL 2015, c. 299,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§1724. Criminal background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Criminal background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§1724. CRIMINAL BACKGROUND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