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1670</w:t>
      </w:r>
    </w:p>
    <w:p>
      <w:pPr>
        <w:jc w:val="center"/>
        <w:ind w:start="360"/>
        <w:spacing w:before="300" w:after="300"/>
      </w:pPr>
      <w:r>
        <w:rPr>
          <w:b/>
        </w:rPr>
        <w:t xml:space="preserve">INTERDEPARTMENTAL COMMITTEE RELATING TO CHILDREN'S RESIDENTIAL TREATMENT CENTERS</w:t>
      </w:r>
    </w:p>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jc w:val="both"/>
        <w:spacing w:before="100" w:after="100"/>
        <w:ind w:start="1080" w:hanging="720"/>
      </w:pPr>
      <w:r>
        <w:rPr>
          <w:b/>
        </w:rPr>
        <w:t>§</w:t>
        <w:t>8153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§2 (RP). </w:t>
      </w:r>
    </w:p>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1670. INTERDEPARTMENTAL COMMITTEE RELATING TO CHILDREN'S RESIDENTIAL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