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8308</w:t>
        <w:t xml:space="preserve">.  </w:t>
      </w:r>
      <w:r>
        <w:rPr>
          <w:b/>
        </w:rPr>
        <w:t xml:space="preserve">Memorandum of understanding for educational programs</w:t>
      </w:r>
    </w:p>
    <w:p>
      <w:pPr>
        <w:jc w:val="both"/>
        <w:spacing w:before="100" w:after="100"/>
        <w:ind w:start="360"/>
        <w:ind w:firstLine="360"/>
      </w:pPr>
      <w:r>
        <w:rPr/>
      </w:r>
      <w:r>
        <w:rPr/>
      </w:r>
      <w:r>
        <w:t xml:space="preserve">A center or region, adult education program pursuant to </w:t>
      </w:r>
      <w:r>
        <w:t>chapter 315</w:t>
      </w:r>
      <w:r>
        <w:t xml:space="preserve"> and a community college or university may enter into a memorandum of understanding with one another pursuant to this section to provide educational programs to career and technical education and adult education students. For the purposes of this section, "community college" means a community college of the Maine Community College System and "university" means a university of the University of Maine System. A memorandum of understanding under this section must include the following components.</w:t>
      </w:r>
      <w:r>
        <w:t xml:space="preserve">  </w:t>
      </w:r>
      <w:r xmlns:wp="http://schemas.openxmlformats.org/drawingml/2010/wordprocessingDrawing" xmlns:w15="http://schemas.microsoft.com/office/word/2012/wordml">
        <w:rPr>
          <w:rFonts w:ascii="Arial" w:hAnsi="Arial" w:cs="Arial"/>
          <w:sz w:val="22"/>
          <w:szCs w:val="22"/>
        </w:rPr>
        <w:t xml:space="preserve">[PL 2021, c. 237, §1 (NEW).]</w:t>
      </w:r>
    </w:p>
    <w:p>
      <w:pPr>
        <w:jc w:val="both"/>
        <w:spacing w:before="100" w:after="0"/>
        <w:ind w:start="360"/>
        <w:ind w:firstLine="360"/>
      </w:pPr>
      <w:r>
        <w:rPr>
          <w:b/>
        </w:rPr>
        <w:t>1</w:t>
        <w:t xml:space="preserve">.  </w:t>
      </w:r>
      <w:r>
        <w:rPr>
          <w:b/>
        </w:rPr>
        <w:t xml:space="preserve">Schedules.</w:t>
        <w:t xml:space="preserve"> </w:t>
      </w:r>
      <w:r>
        <w:t xml:space="preserve"> </w:t>
      </w:r>
      <w:r>
        <w:t xml:space="preserve">The center or region, adult education program and the community college or university must address how to align schedules to allow students to take courses through the community college or university.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237, §1 (NEW).]</w:t>
      </w:r>
    </w:p>
    <w:p>
      <w:pPr>
        <w:jc w:val="both"/>
        <w:spacing w:before="100" w:after="0"/>
        <w:ind w:start="360"/>
        <w:ind w:firstLine="360"/>
      </w:pPr>
      <w:r>
        <w:rPr>
          <w:b/>
        </w:rPr>
        <w:t>2</w:t>
        <w:t xml:space="preserve">.  </w:t>
      </w:r>
      <w:r>
        <w:rPr>
          <w:b/>
        </w:rPr>
        <w:t xml:space="preserve">Postsecondary credit.</w:t>
        <w:t xml:space="preserve"> </w:t>
      </w:r>
      <w:r>
        <w:t xml:space="preserve"> </w:t>
      </w:r>
      <w:r>
        <w:t xml:space="preserve">The community college or university shall grant full credit to any student who successfully completes a course at the community college or university provided pursuant to this section. The course must apply to graduation requirements at the community college or university in which it was taken or be transferable to another community college or university on an equal basis with a course taken by any other student at the community college or university.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237, §1 (NEW).]</w:t>
      </w:r>
    </w:p>
    <w:p>
      <w:pPr>
        <w:jc w:val="both"/>
        <w:spacing w:before="100" w:after="0"/>
        <w:ind w:start="360"/>
        <w:ind w:firstLine="360"/>
      </w:pPr>
      <w:r>
        <w:rPr>
          <w:b/>
        </w:rPr>
        <w:t>3</w:t>
        <w:t xml:space="preserve">.  </w:t>
      </w:r>
      <w:r>
        <w:rPr>
          <w:b/>
        </w:rPr>
        <w:t xml:space="preserve">Funding.</w:t>
        <w:t xml:space="preserve"> </w:t>
      </w:r>
      <w:r>
        <w:t xml:space="preserve"> </w:t>
      </w:r>
      <w:r>
        <w:t xml:space="preserve">Funding for career and technical education students attending courses at a community college or university may be provided in accordance with </w:t>
      </w:r>
      <w:r>
        <w:t>section 15689‑A, subsection 23</w:t>
      </w:r>
      <w:r>
        <w:t xml:space="preserve"> or </w:t>
      </w:r>
      <w:r>
        <w:t>chapter 208‑A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§8308. Memorandum of understanding for educational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§8308. Memorandum of understanding for educational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§8308. MEMORANDUM OF UNDERSTANDING FOR EDUCATIONAL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