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2011, c. 353, §§5-7 (AMD). PL 2017, c. 381,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§19152.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§19152.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§19152.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