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11483</w:t>
        <w:t xml:space="preserve">.  </w:t>
      </w:r>
      <w:r>
        <w:rPr>
          <w:b/>
        </w:rPr>
        <w:t xml:space="preserve">Compliance with federal law</w:t>
      </w:r>
    </w:p>
    <w:p>
      <w:pPr>
        <w:jc w:val="both"/>
        <w:spacing w:before="100" w:after="100"/>
        <w:ind w:start="360"/>
        <w:ind w:firstLine="360"/>
      </w:pPr>
      <w:r>
        <w:rPr/>
      </w:r>
      <w:r>
        <w:rPr/>
      </w:r>
      <w:r>
        <w:t xml:space="preserve">The authority may take any action necessary to ensure that the program complies with the federal Internal Revenue Code of 1986, Section 529, as amended, and any successor provisions and other applicable laws, rules and regulations adopted pursuant to that provision to the extent necessary for the program fund to constitute a qualified tuition program with the benefits of eligibility under provisions of the federal Internal Revenue Code of 1986 addressing qualified tuition programs.</w:t>
      </w:r>
      <w:r>
        <w:t xml:space="preserve">  </w:t>
      </w:r>
      <w:r xmlns:wp="http://schemas.openxmlformats.org/drawingml/2010/wordprocessingDrawing" xmlns:w15="http://schemas.microsoft.com/office/word/2012/wordml">
        <w:rPr>
          <w:rFonts w:ascii="Arial" w:hAnsi="Arial" w:cs="Arial"/>
          <w:sz w:val="22"/>
          <w:szCs w:val="22"/>
        </w:rPr>
        <w:t xml:space="preserve">[PL 2021, c. 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2021, c. 17,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§11483. Compliance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§11483. Compliance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§11483. COMPLIANCE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