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§11473. Maine Education Savings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§11473. MAINE EDUCATION SAVINGS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