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w:t>
      </w:r>
    </w:p>
    <w:p>
      <w:pPr>
        <w:jc w:val="both"/>
        <w:spacing w:before="100" w:after="100"/>
        <w:ind w:start="1080" w:hanging="720"/>
      </w:pPr>
      <w:r>
        <w:rPr>
          <w:b/>
        </w:rPr>
        <w:t>§</w:t>
        <w:t>2</w:t>
        <w:t xml:space="preserve">.  </w:t>
      </w:r>
      <w:r>
        <w:rPr>
          <w:b/>
        </w:rPr>
        <w:t xml:space="preserve">Policy on public education</w:t>
      </w:r>
    </w:p>
    <w:p>
      <w:pPr>
        <w:jc w:val="both"/>
        <w:spacing w:before="100" w:after="100"/>
        <w:ind w:start="360"/>
        <w:ind w:firstLine="360"/>
      </w:pPr>
      <w:r>
        <w:rPr/>
      </w:r>
      <w:r>
        <w:rPr/>
      </w:r>
      <w:r>
        <w:t xml:space="preserve">The state policy on public education is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responsibility for public education.</w:t>
        <w:t xml:space="preserve"> </w:t>
      </w:r>
      <w:r>
        <w:t xml:space="preserve"> </w:t>
      </w:r>
      <w:r>
        <w:t xml:space="preserve">In accordance with the Constitution of Maine, </w:t>
      </w:r>
      <w:r>
        <w:t>Article VIII</w:t>
      </w:r>
      <w:r>
        <w:t xml:space="preserve">, the Legislature shall enact the laws that are necessary to assure that all school administrative units make suitable provisions for the support and maintenance of the public schools. It is the intent of the Legislature that every person within the age limitations prescribed by state statutes shall be provided an opportunity to receive the benefits of a free public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Local control of public education.</w:t>
        <w:t xml:space="preserve"> </w:t>
      </w:r>
      <w:r>
        <w:t xml:space="preserve"> </w:t>
      </w:r>
      <w:r>
        <w:t xml:space="preserve">It is the intent of the Legislature that the control and management of the public schools shall be vested in the legislative and governing bodies of local school administrative units, as long as those units are in compliance with appropriate state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821 (AMD). PL 1989, c. 501, §P22 (AMD). PL 1989, c. 502, §D16 (AMD). PL 1989, c. 534, §E1 (AMD). PL 1989, c. 878, §A43 (AMD). PL 1991, c. 9, §II1 (AMD). PL 1991, c. 429, §1 (AMD). PL 1991, c. 528, §III23 (AMD). PL 1991, c. 528, §RRR (AFF). PL 1991, c. 591, §III23 (AMD). PL 1991, c. 847, §1 (AMD). </w:t>
      </w:r>
    </w:p>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737, §C4 (RP). </w:t>
      </w:r>
    </w:p>
    <w:p>
      <w:pPr>
        <w:jc w:val="both"/>
        <w:spacing w:before="100" w:after="100"/>
        <w:ind w:start="1080" w:hanging="720"/>
      </w:pPr>
      <w:r>
        <w:rPr>
          <w:b/>
        </w:rPr>
        <w:t>§</w:t>
        <w:t>5</w:t>
        <w:t xml:space="preserve">.  </w:t>
      </w:r>
      <w:r>
        <w:rPr>
          <w:b/>
        </w:rPr>
        <w:t xml:space="preserve">Funding of state mandates for noneducational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"Expenditure" means any local appropriation financed by the property tax, motor vehicle excise tax, state-municipal revenue sharing program or any state reimbursement for revenue lost due to property tax exemptions.</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B</w:t>
        <w:t xml:space="preserve">.  </w:t>
      </w:r>
      <w:r>
        <w:rPr/>
      </w:r>
      <w:r>
        <w:t xml:space="preserve">"Local unit" means any city, town, plantation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C</w:t>
        <w:t xml:space="preserve">.  </w:t>
      </w:r>
      <w:r>
        <w:rPr/>
      </w:r>
      <w:r>
        <w:t xml:space="preserve">"Noneducational services" means any service which is not an allowable educational cost under </w:t>
      </w:r>
      <w:r>
        <w:t>chapter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w:pPr>
        <w:jc w:val="both"/>
        <w:spacing w:before="100" w:after="0"/>
        <w:ind w:start="360"/>
        <w:ind w:firstLine="360"/>
      </w:pPr>
      <w:r>
        <w:rPr>
          <w:b/>
        </w:rPr>
        <w:t>2</w:t>
        <w:t xml:space="preserve">.  </w:t>
      </w:r>
      <w:r>
        <w:rPr>
          <w:b/>
        </w:rPr>
        <w:t xml:space="preserve">Mandates.</w:t>
        <w:t xml:space="preserve"> </w:t>
      </w:r>
      <w:r>
        <w:t xml:space="preserve"> </w:t>
      </w:r>
      <w:r>
        <w:t xml:space="preserve">The State may not mandate that a school administrative unit implement a new noneducational service after July 1, 1984, unless the State provides sufficient moneys to cover the additional cost of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 </w:t>
      </w:r>
    </w:p>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jc w:val="both"/>
        <w:spacing w:before="100" w:after="100"/>
        <w:ind w:start="1080" w:hanging="720"/>
      </w:pPr>
      <w:r>
        <w:rPr>
          <w:b/>
        </w:rPr>
        <w:t>§</w:t>
        <w:t>11</w:t>
        <w:t xml:space="preserve">.  </w:t>
      </w:r>
      <w:r>
        <w:rPr>
          <w:b/>
        </w:rPr>
        <w:t xml:space="preserve">Science, Technology, Engineering and Mathematics Council</w:t>
      </w:r>
    </w:p>
    <w:p>
      <w:pPr>
        <w:jc w:val="both"/>
        <w:spacing w:before="100" w:after="100"/>
        <w:ind w:start="360"/>
        <w:ind w:firstLine="360"/>
      </w:pPr>
      <w:r>
        <w:rPr>
          <w:b/>
        </w:rPr>
        <w:t>1</w:t>
        <w:t xml:space="preserve">.  </w:t>
      </w:r>
      <w:r>
        <w:rPr>
          <w:b/>
        </w:rPr>
        <w:t xml:space="preserve">Establishment; composition.</w:t>
        <w:t xml:space="preserve"> </w:t>
      </w:r>
      <w:r>
        <w:t xml:space="preserve"> </w:t>
      </w:r>
      <w:r>
        <w:t xml:space="preserve">The Science, Technology, Engineering and Mathematics Council, established in </w:t>
      </w:r>
      <w:r>
        <w:t>Title 5, section 12004‑C, subsection 8</w:t>
      </w:r>
      <w:r>
        <w:t xml:space="preserve"> and referred to in this section as "the council," consists of the following 16 members:</w:t>
      </w:r>
    </w:p>
    <w:p>
      <w:pPr>
        <w:jc w:val="both"/>
        <w:spacing w:before="100" w:after="0"/>
        <w:ind w:start="720"/>
      </w:pPr>
      <w:r>
        <w:rPr/>
        <w:t>A</w:t>
        <w:t xml:space="preserve">.  </w:t>
      </w:r>
      <w:r>
        <w:rPr/>
      </w:r>
      <w:r>
        <w:t xml:space="preserve">Five ex officio members:</w:t>
      </w:r>
    </w:p>
    <w:p>
      <w:pPr>
        <w:jc w:val="both"/>
        <w:spacing w:before="100" w:after="0"/>
        <w:ind w:start="1080"/>
      </w:pPr>
      <w:r>
        <w:rPr/>
        <w:t>(</w:t>
        <w:t>1</w:t>
        <w:t xml:space="preserve">)  </w:t>
      </w:r>
      <w:r>
        <w:rPr/>
      </w:r>
      <w:r>
        <w:t xml:space="preserve">The Commissioner of Education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President of the Maine Community College System or the president's designee;</w:t>
      </w:r>
    </w:p>
    <w:p>
      <w:pPr>
        <w:jc w:val="both"/>
        <w:spacing w:before="100" w:after="0"/>
        <w:ind w:start="1080"/>
      </w:pPr>
      <w:r>
        <w:rPr/>
        <w:t>(</w:t>
        <w:t>4</w:t>
        <w:t xml:space="preserve">)  </w:t>
      </w:r>
      <w:r>
        <w:rPr/>
      </w:r>
      <w:r>
        <w:t xml:space="preserve">The President of the Maine Maritime Academy or the president's designee; and</w:t>
      </w:r>
    </w:p>
    <w:p>
      <w:pPr>
        <w:jc w:val="both"/>
        <w:spacing w:before="100" w:after="0"/>
        <w:ind w:start="1080"/>
      </w:pPr>
      <w:r>
        <w:rPr/>
        <w:t>(</w:t>
        <w:t>5</w:t>
        <w:t xml:space="preserve">)  </w:t>
      </w:r>
      <w:r>
        <w:rPr/>
      </w:r>
      <w:r>
        <w:t xml:space="preserve">The Commissioner of Labor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B</w:t>
        <w:t xml:space="preserve">.  </w:t>
      </w:r>
      <w:r>
        <w:rPr/>
      </w:r>
      <w:r>
        <w:t xml:space="preserve">The following 11 members, appointed by the Governor:</w:t>
      </w:r>
    </w:p>
    <w:p>
      <w:pPr>
        <w:jc w:val="both"/>
        <w:spacing w:before="100" w:after="0"/>
        <w:ind w:start="1080"/>
      </w:pPr>
      <w:r>
        <w:rPr/>
        <w:t>(</w:t>
        <w:t>1</w:t>
        <w:t xml:space="preserve">)  </w:t>
      </w:r>
      <w:r>
        <w:rPr/>
      </w:r>
      <w:r>
        <w:t xml:space="preserve">A representative from the University of Maine, Maine Center for Research in STEM Education;</w:t>
      </w:r>
    </w:p>
    <w:p>
      <w:pPr>
        <w:jc w:val="both"/>
        <w:spacing w:before="100" w:after="0"/>
        <w:ind w:start="1080"/>
      </w:pPr>
      <w:r>
        <w:rPr/>
        <w:t>(</w:t>
        <w:t>2</w:t>
        <w:t xml:space="preserve">)  </w:t>
      </w:r>
      <w:r>
        <w:rPr/>
      </w:r>
      <w:r>
        <w:t xml:space="preserve">A representative who teaches in elementary or middle school;</w:t>
      </w:r>
    </w:p>
    <w:p>
      <w:pPr>
        <w:jc w:val="both"/>
        <w:spacing w:before="100" w:after="0"/>
        <w:ind w:start="1080"/>
      </w:pPr>
      <w:r>
        <w:rPr/>
        <w:t>(</w:t>
        <w:t>3</w:t>
        <w:t xml:space="preserve">)  </w:t>
      </w:r>
      <w:r>
        <w:rPr/>
      </w:r>
      <w:r>
        <w:t xml:space="preserve">A representative who teaches science or mathematics in secondary school;</w:t>
      </w:r>
    </w:p>
    <w:p>
      <w:pPr>
        <w:jc w:val="both"/>
        <w:spacing w:before="100" w:after="0"/>
        <w:ind w:start="1080"/>
      </w:pPr>
      <w:r>
        <w:rPr/>
        <w:t>(</w:t>
        <w:t>4</w:t>
        <w:t xml:space="preserve">)  </w:t>
      </w:r>
      <w:r>
        <w:rPr/>
      </w:r>
      <w:r>
        <w:t xml:space="preserve">A representative who teaches in a technical school;</w:t>
      </w:r>
    </w:p>
    <w:p>
      <w:pPr>
        <w:jc w:val="both"/>
        <w:spacing w:before="100" w:after="0"/>
        <w:ind w:start="1080"/>
      </w:pPr>
      <w:r>
        <w:rPr/>
        <w:t>(</w:t>
        <w:t>5</w:t>
        <w:t xml:space="preserve">)  </w:t>
      </w:r>
      <w:r>
        <w:rPr/>
      </w:r>
      <w:r>
        <w:t xml:space="preserve">A representative of public and private education partnerships;</w:t>
      </w:r>
    </w:p>
    <w:p>
      <w:pPr>
        <w:jc w:val="both"/>
        <w:spacing w:before="100" w:after="0"/>
        <w:ind w:start="1080"/>
      </w:pPr>
      <w:r>
        <w:rPr/>
        <w:t>(</w:t>
        <w:t>6</w:t>
        <w:t xml:space="preserve">)  </w:t>
      </w:r>
      <w:r>
        <w:rPr/>
      </w:r>
      <w:r>
        <w:t xml:space="preserve">A representative of a statewide science, technology, engineering and mathematics collaborative;</w:t>
      </w:r>
    </w:p>
    <w:p>
      <w:pPr>
        <w:jc w:val="both"/>
        <w:spacing w:before="100" w:after="0"/>
        <w:ind w:start="1080"/>
      </w:pPr>
      <w:r>
        <w:rPr/>
        <w:t>(</w:t>
        <w:t>7</w:t>
        <w:t xml:space="preserve">)  </w:t>
      </w:r>
      <w:r>
        <w:rPr/>
      </w:r>
      <w:r>
        <w:t xml:space="preserve">Two representatives from the business sector who employ workers with training in science, technology, engineering or mathematics;</w:t>
      </w:r>
    </w:p>
    <w:p>
      <w:pPr>
        <w:jc w:val="both"/>
        <w:spacing w:before="100" w:after="0"/>
        <w:ind w:start="1080"/>
      </w:pPr>
      <w:r>
        <w:rPr/>
        <w:t>(</w:t>
        <w:t>8</w:t>
        <w:t xml:space="preserve">)  </w:t>
      </w:r>
      <w:r>
        <w:rPr/>
      </w:r>
      <w:r>
        <w:t xml:space="preserve">A representative employed in an industry related to science, technology, engineering or mathematics;</w:t>
      </w:r>
    </w:p>
    <w:p>
      <w:pPr>
        <w:jc w:val="both"/>
        <w:spacing w:before="100" w:after="0"/>
        <w:ind w:start="1080"/>
      </w:pPr>
      <w:r>
        <w:rPr/>
        <w:t>(</w:t>
        <w:t>9</w:t>
        <w:t xml:space="preserve">)  </w:t>
      </w:r>
      <w:r>
        <w:rPr/>
      </w:r>
      <w:r>
        <w:t xml:space="preserve">A representative who teaches in an equivalent instruction program that is approved as an alternative to public school as set forth in </w:t>
      </w:r>
      <w:r>
        <w:t>section 5001‑A, subsection 3</w:t>
      </w:r>
      <w:r>
        <w:t xml:space="preserve">; and</w:t>
      </w:r>
    </w:p>
    <w:p>
      <w:pPr>
        <w:jc w:val="both"/>
        <w:spacing w:before="100" w:after="0"/>
        <w:ind w:start="1080"/>
      </w:pPr>
      <w:r>
        <w:rPr/>
        <w:t>(</w:t>
        <w:t>10</w:t>
        <w:t xml:space="preserve">)  </w:t>
      </w:r>
      <w:r>
        <w:rPr/>
      </w:r>
      <w:r>
        <w:t xml:space="preserve">A representative from 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2</w:t>
        <w:t xml:space="preserve">.  </w:t>
      </w:r>
      <w:r>
        <w:rPr>
          <w:b/>
        </w:rPr>
        <w:t xml:space="preserve">Terms; vacancy.</w:t>
        <w:t xml:space="preserve"> </w:t>
      </w:r>
      <w:r>
        <w:t xml:space="preserve"> </w:t>
      </w:r>
      <w:r>
        <w:t xml:space="preserve">The members of the council appointed pursuant to </w:t>
      </w:r>
      <w:r>
        <w:t>subsection 1, paragraph B</w:t>
      </w:r>
      <w:r>
        <w:t xml:space="preserve"> serve for 2-year terms and serve until their successors are appointed and qualified.  On the expiration of a term of any member, a successor must be appointed to a 2-year term.  A member of the council is eligible for reappointment to the council.  A vacancy in the council does not impair the right of a quorum of the members to exercise all the rights and perform all the duties of the council.  In the event of a vacancy occurring in the membership, the Governor shall appoint a replacement member for the remainder of the unexpired term in the same manner as the original appointment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 develop strategies for enhancing science, technology, engineering and mathematics education from prekindergarten through postsecondary education and:</w:t>
      </w:r>
    </w:p>
    <w:p>
      <w:pPr>
        <w:jc w:val="both"/>
        <w:spacing w:before="100" w:after="0"/>
        <w:ind w:start="720"/>
      </w:pPr>
      <w:r>
        <w:rPr/>
        <w:t>A</w:t>
        <w:t xml:space="preserve">.  </w:t>
      </w:r>
      <w:r>
        <w:rPr/>
      </w:r>
      <w:r>
        <w:t xml:space="preserve">Review research that has been conducted on science, technology, engineering and mathematics education in the State and recommend strategic directions for consideration by policymakers as they identify future investments in science, technology, engineering and mathematics;</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B</w:t>
        <w:t xml:space="preserve">.  </w:t>
      </w:r>
      <w:r>
        <w:rPr/>
      </w:r>
      <w:r>
        <w:t xml:space="preserve">Plan for coordinated state leadership with respect to science, technology, engineering and mathematics education and initiatives;</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C</w:t>
        <w:t xml:space="preserve">.  </w:t>
      </w:r>
      <w:r>
        <w:rPr/>
      </w:r>
      <w:r>
        <w:t xml:space="preserve">Develop initiatives to promote science, technology, engineering and mathematics education;</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D</w:t>
        <w:t xml:space="preserve">.  </w:t>
      </w:r>
      <w:r>
        <w:rPr/>
      </w:r>
      <w:r>
        <w:t xml:space="preserve">Devise strategies for promoting career and technical education alignment and supporting early career planning and transition supports from high school to college and to the workforce;</w:t>
      </w:r>
      <w:r>
        <w:t xml:space="preserve">  </w:t>
      </w:r>
      <w:r xmlns:wp="http://schemas.openxmlformats.org/drawingml/2010/wordprocessingDrawing" xmlns:w15="http://schemas.microsoft.com/office/word/2012/wordml">
        <w:rPr>
          <w:rFonts w:ascii="Arial" w:hAnsi="Arial" w:cs="Arial"/>
          <w:sz w:val="22"/>
          <w:szCs w:val="22"/>
        </w:rPr>
        <w:t xml:space="preserve">[PL 2021, c. 144, §1 (AMD).]</w:t>
      </w:r>
    </w:p>
    <w:p>
      <w:pPr>
        <w:jc w:val="both"/>
        <w:spacing w:before="100" w:after="0"/>
        <w:ind w:start="720"/>
      </w:pPr>
      <w:r>
        <w:rPr/>
        <w:t>E</w:t>
        <w:t xml:space="preserve">.  </w:t>
      </w:r>
      <w:r>
        <w:rPr/>
      </w:r>
      <w:r>
        <w:t xml:space="preserve">Propose methods for integrating out-of-school programs focused on science, technology, engineering and mathematics with school-based programs, with the goal of inspiring more students to concentrate in the fields of science, technology, engineering and mathematics; and</w:t>
      </w:r>
      <w:r>
        <w:t xml:space="preserve">  </w:t>
      </w:r>
      <w:r xmlns:wp="http://schemas.openxmlformats.org/drawingml/2010/wordprocessingDrawing" xmlns:w15="http://schemas.microsoft.com/office/word/2012/wordml">
        <w:rPr>
          <w:rFonts w:ascii="Arial" w:hAnsi="Arial" w:cs="Arial"/>
          <w:sz w:val="22"/>
          <w:szCs w:val="22"/>
        </w:rPr>
        <w:t xml:space="preserve">[PL 2021, c. 144, §2 (AMD).]</w:t>
      </w:r>
    </w:p>
    <w:p>
      <w:pPr>
        <w:jc w:val="both"/>
        <w:spacing w:before="100" w:after="0"/>
        <w:ind w:start="720"/>
      </w:pPr>
      <w:r>
        <w:rPr/>
        <w:t>F</w:t>
        <w:t xml:space="preserve">.  </w:t>
      </w:r>
      <w:r>
        <w:rPr/>
      </w:r>
      <w:r>
        <w:t xml:space="preserve">Coordinate the development of higher education programs and public-private partnerships to enhance higher education and employment opportunities in the State in science, technology, engineering and mathematics.</w:t>
      </w:r>
      <w:r>
        <w:t xml:space="preserve">  </w:t>
      </w:r>
      <w:r xmlns:wp="http://schemas.openxmlformats.org/drawingml/2010/wordprocessingDrawing" xmlns:w15="http://schemas.microsoft.com/office/word/2012/wordml">
        <w:rPr>
          <w:rFonts w:ascii="Arial" w:hAnsi="Arial" w:cs="Arial"/>
          <w:sz w:val="22"/>
          <w:szCs w:val="22"/>
        </w:rPr>
        <w:t xml:space="preserve">[PL 2021,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144, §§1-3 (AMD).]</w:t>
      </w:r>
    </w:p>
    <w:p>
      <w:pPr>
        <w:jc w:val="both"/>
        <w:spacing w:before="100" w:after="0"/>
        <w:ind w:start="360"/>
        <w:ind w:firstLine="360"/>
      </w:pPr>
      <w:r>
        <w:rPr>
          <w:b/>
        </w:rPr>
        <w:t>4</w:t>
        <w:t xml:space="preserve">.  </w:t>
      </w:r>
      <w:r>
        <w:rPr>
          <w:b/>
        </w:rPr>
        <w:t xml:space="preserve">Chair; vice-chair.</w:t>
        <w:t xml:space="preserve"> </w:t>
      </w:r>
      <w:r>
        <w:t xml:space="preserve"> </w:t>
      </w:r>
      <w:r>
        <w:t xml:space="preserve">The council shall elect from its membership a chair and a vice-chair.  The chair and vice-chair serve for one-year terms.  The chair and vice-chair serve until their successors are elected.  The chair calls meetings of the council and presides over meetings.  The vice-chair serves as the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5</w:t>
        <w:t xml:space="preserve">.  </w:t>
      </w:r>
      <w:r>
        <w:rPr>
          <w:b/>
        </w:rPr>
        <w:t xml:space="preserve">Meetings; quorum; subcommittees.</w:t>
        <w:t xml:space="preserve"> </w:t>
      </w:r>
      <w:r>
        <w:t xml:space="preserve"> </w:t>
      </w:r>
      <w:r>
        <w:t xml:space="preserve">The council shall meet at least 2 times each year.  The chair shall establish the agenda.  A quorum of the council is 9 members.  The council may establish subcommittees of no fewer than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of the council appointed pursuant to </w:t>
      </w:r>
      <w:r>
        <w:t>subsection 1, paragraph B</w:t>
      </w:r>
      <w:r>
        <w:t xml:space="preserve"> are entitled to receive compensation for travel expenses as allowed under </w:t>
      </w:r>
      <w:r>
        <w:t>Title 5, section 12004‑C, subsection 8</w:t>
      </w:r>
      <w:r>
        <w:t xml:space="preserve"> while engaged in council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7</w:t>
        <w:t xml:space="preserve">.  </w:t>
      </w:r>
      <w:r>
        <w:rPr>
          <w:b/>
        </w:rPr>
        <w:t xml:space="preserve">Assistance.</w:t>
        <w:t xml:space="preserve"> </w:t>
      </w:r>
      <w:r>
        <w:t xml:space="preserve"> </w:t>
      </w:r>
      <w:r>
        <w:t xml:space="preserve">The executive director established pursuant to </w:t>
      </w:r>
      <w:r>
        <w:t>subsection 9</w:t>
      </w:r>
      <w:r>
        <w:t xml:space="preserve">, the Department of Education, the University of Maine System, the Maine Community College System and the Maine Maritime Academy shall jointly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§1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January 15th annually, the council shall submit a report of its findings and recommendations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9</w:t>
        <w:t xml:space="preserve">.  </w:t>
      </w:r>
      <w:r>
        <w:rPr>
          <w:b/>
        </w:rPr>
        <w:t xml:space="preserve">Office of executive director.</w:t>
        <w:t xml:space="preserve"> </w:t>
      </w:r>
      <w:r>
        <w:t xml:space="preserve"> </w:t>
      </w:r>
      <w:r>
        <w:t xml:space="preserve">The council shall establish the office of executive director to provide leadership and management expertise to assist the council in meeting its goals.  The council may enter into an agreement, to the extent that public and private funds are available, to contract with an executive director to assist the council in the execution of its duties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§2 (NEW).]</w:t>
      </w:r>
    </w:p>
    <w:p>
      <w:pPr>
        <w:jc w:val="both"/>
        <w:spacing w:before="100" w:after="0"/>
        <w:ind w:start="360"/>
        <w:ind w:firstLine="360"/>
      </w:pPr>
      <w:r>
        <w:rPr>
          <w:b/>
        </w:rPr>
        <w:t>10</w:t>
        <w:t xml:space="preserve">.  </w:t>
      </w:r>
      <w:r>
        <w:rPr>
          <w:b/>
        </w:rPr>
        <w:t xml:space="preserve">Funding.</w:t>
        <w:t xml:space="preserve"> </w:t>
      </w:r>
      <w:r>
        <w:t xml:space="preserve"> </w:t>
      </w:r>
      <w:r>
        <w:t xml:space="preserve">The council may receive and expend funds from public and private sources.  Funds must be used to carry out the council's duties and other provisions of this section.  State and federal funds received by the council must be held separate and apart from all other money, funds and accounts.  Any balance of funds appropriated, allocated or authorized by the Legislature remaining at the end of a fiscal year do not lapse and are carried forward to the next fiscal year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 PL 2013, c. 410, §§1, 2 (AMD). PL 2021, c. 144, §§1-3 (AMD). </w:t>
      </w:r>
    </w:p>
    <w:p>
      <w:pPr>
        <w:jc w:val="both"/>
        <w:spacing w:before="100" w:after="100"/>
        <w:ind w:start="1080" w:hanging="720"/>
      </w:pPr>
      <w:r>
        <w:rPr>
          <w:b/>
        </w:rPr>
        <w:t>§</w:t>
        <w:t>12</w:t>
        <w:t xml:space="preserve">.  </w:t>
      </w:r>
      <w:r>
        <w:rPr>
          <w:b/>
        </w:rPr>
        <w:t xml:space="preserve">Prohibition of Native American mascots</w:t>
      </w:r>
    </w:p>
    <w:p>
      <w:pPr>
        <w:jc w:val="both"/>
        <w:spacing w:before="100" w:after="100"/>
        <w:ind w:start="360"/>
        <w:ind w:firstLine="360"/>
      </w:pPr>
      <w:r>
        <w:rPr/>
      </w:r>
      <w:r>
        <w:rPr/>
      </w:r>
      <w:r>
        <w:t xml:space="preserve">A public school, the University of Maine System or any college within the University of Maine System, the Maine Community College System or any college within the Maine Community College System or the Maine Maritime Academy may not have or adopt a name, symbol or image that depicts or refers to a Native American tribe, individual, custom or tradition and that is used as a mascot, nickname, logo, letterhead or team name of the school.</w:t>
      </w:r>
      <w:r>
        <w:t xml:space="preserve">  </w:t>
      </w:r>
      <w:r xmlns:wp="http://schemas.openxmlformats.org/drawingml/2010/wordprocessingDrawing" xmlns:w15="http://schemas.microsoft.com/office/word/2012/wordml">
        <w:rPr>
          <w:rFonts w:ascii="Arial" w:hAnsi="Arial" w:cs="Arial"/>
          <w:sz w:val="22"/>
          <w:szCs w:val="22"/>
        </w:rPr>
        <w:t xml:space="preserve">[PL 2019, c. 123,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