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5-812</w:t>
        <w:t xml:space="preserve">.  </w:t>
      </w:r>
      <w:r>
        <w:rPr>
          <w:b/>
        </w:rPr>
        <w:t xml:space="preserve">Capacity</w:t>
      </w:r>
    </w:p>
    <w:p>
      <w:pPr>
        <w:jc w:val="both"/>
        <w:spacing w:before="100" w:after="0"/>
        <w:ind w:start="360"/>
        <w:ind w:firstLine="360"/>
      </w:pPr>
      <w:r>
        <w:rPr>
          <w:b/>
        </w:rPr>
        <w:t>1</w:t>
        <w:t xml:space="preserve">.  </w:t>
      </w:r>
      <w:r>
        <w:rPr>
          <w:b/>
        </w:rPr>
        <w:t xml:space="preserve">Right to make health care decisions while having capacity.</w:t>
        <w:t xml:space="preserve"> </w:t>
      </w:r>
      <w:r>
        <w:t xml:space="preserve"> </w:t>
      </w:r>
      <w:r>
        <w:t xml:space="preserve">This Part does not affect the right of an individual to make health care decisions while having capacity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Presumed to have capacity; rebuttal.</w:t>
        <w:t xml:space="preserve"> </w:t>
      </w:r>
      <w:r>
        <w:t xml:space="preserve"> </w:t>
      </w:r>
      <w:r>
        <w:t xml:space="preserve">An individual is presumed to have capacity to make a health care decision, to give or revoke an advance health care directive and to designate or disqualify a surrogate.  This presumption may be rebutted by a determination by the individual's primary physician or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§5-812. 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§5-812. 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§5-812. 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