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this Part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§94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this Part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represented by an attorney and the attorney represents that the respondent does not want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visitor has confirmed with the respondent that the respondent has no objection to the protective arrangements and that the respondent does not wish to attend the hearing;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this Part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this Part,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Closed upon request; good cause.</w:t>
        <w:t xml:space="preserve"> </w:t>
      </w:r>
      <w:r>
        <w:t xml:space="preserve"> </w:t>
      </w:r>
      <w:r>
        <w:t xml:space="preserve">A hearing under this Part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Participation; best interest of respondent.</w:t>
        <w:t xml:space="preserve"> </w:t>
      </w:r>
      <w:r>
        <w:t xml:space="preserve"> </w:t>
      </w:r>
      <w:r>
        <w:t xml:space="preserve">Any person may request to participate in a hearing under this Part.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§5-509. Attendance and rights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 Attendance and rights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§5-509. ATTENDANCE AND RIGHTS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