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Impersonating a public servant</w:t>
      </w:r>
    </w:p>
    <w:p>
      <w:pPr>
        <w:jc w:val="both"/>
        <w:spacing w:before="100" w:after="0"/>
        <w:ind w:start="360"/>
        <w:ind w:firstLine="360"/>
      </w:pPr>
      <w:r>
        <w:rPr>
          <w:b/>
        </w:rPr>
        <w:t>1</w:t>
        <w:t xml:space="preserve">.  </w:t>
      </w:r>
      <w:r>
        <w:rPr>
          <w:b/>
        </w:rPr>
      </w:r>
      <w:r>
        <w:t xml:space="preserve"> </w:t>
      </w:r>
      <w:r>
        <w:t xml:space="preserve">A person is guilty of impersonating a public servant if he falsely pretends to be a public servant and engages in any conduct in that capacity with the intent to deceive anyone.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no defense to a prosecution under this section that the office the person pretended to hold did not in fact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Impersonating a public servant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Impersonating a public servant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§457. IMPERSONATING A PUBLIC SERVANT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