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Conditions of supervised release</w:t>
      </w:r>
    </w:p>
    <w:p>
      <w:pPr>
        <w:jc w:val="both"/>
        <w:spacing w:before="100" w:after="100"/>
        <w:ind w:start="360"/>
        <w:ind w:firstLine="360"/>
      </w:pPr>
      <w:r>
        <w:rPr/>
      </w:r>
      <w:r>
        <w:rPr/>
      </w:r>
      <w:r>
        <w:t xml:space="preserve">If the court imposes a sentence that includes a period of supervised release, it shall set conditions of supervised release.  The conditions of release that apply to probation under </w:t>
      </w:r>
      <w:r>
        <w:t>section 1807</w:t>
      </w:r>
      <w:r>
        <w:t xml:space="preserve"> apply to conditions of supervised release.  The court may also set conditions of supervised release that it determines to be reasonable and appropriate to manage the person's behavior.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§1882. Conditions of supervised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Conditions of supervised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§1882. CONDITIONS OF SUPERVISED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