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1002-A</w:t>
        <w:t xml:space="preserve">.  </w:t>
      </w:r>
      <w:r>
        <w:rPr>
          <w:b/>
        </w:rPr>
        <w:t xml:space="preserve">Criminal use of laser pointers</w:t>
      </w:r>
    </w:p>
    <w:p>
      <w:pPr>
        <w:jc w:val="both"/>
        <w:spacing w:before="100" w:after="100"/>
        <w:ind w:start="360"/>
        <w:ind w:firstLine="360"/>
      </w:pPr>
      <w:r>
        <w:rPr>
          <w:b/>
        </w:rPr>
        <w:t>1</w:t>
        <w:t xml:space="preserve">.  </w:t>
      </w:r>
      <w:r>
        <w:rPr>
          <w:b/>
        </w:rPr>
      </w:r>
      <w:r>
        <w:t xml:space="preserve"> </w:t>
      </w:r>
      <w:r>
        <w:t xml:space="preserve">A person is guilty of criminal use of a laser pointer if the person intentionally, knowingly or recklessly points a laser pointer at another person, while the laser pointer is emitting a laser beam, and:</w:t>
      </w:r>
    </w:p>
    <w:p>
      <w:pPr>
        <w:jc w:val="both"/>
        <w:spacing w:before="100" w:after="0"/>
        <w:ind w:start="720"/>
      </w:pPr>
      <w:r>
        <w:rPr/>
        <w:t>A</w:t>
        <w:t xml:space="preserve">.  </w:t>
      </w:r>
      <w:r>
        <w:rPr/>
      </w:r>
      <w:r>
        <w:t xml:space="preserve">Causes bodily injury to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B</w:t>
        <w:t xml:space="preserve">.  </w:t>
      </w:r>
      <w:r>
        <w:rPr/>
      </w:r>
      <w:r>
        <w:t xml:space="preserve">That other person is a law enforcement officer in uniform.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w:pPr>
        <w:jc w:val="both"/>
        <w:spacing w:before="100" w:after="0"/>
        <w:ind w:start="720"/>
      </w:pPr>
      <w:r>
        <w:rPr/>
        <w:t>C</w:t>
        <w:t xml:space="preserve">.  </w:t>
      </w:r>
      <w:r>
        <w:rPr/>
      </w:r>
      <w:r>
        <w:t xml:space="preserve">Causes a reasonable person to suffer intimidation, annoyance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§112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§112 (AMD); PL 2001, c. 383, §156 (AFF).]</w:t>
      </w:r>
    </w:p>
    <w:p>
      <w:pPr>
        <w:jc w:val="both"/>
        <w:spacing w:before="100" w:after="0"/>
        <w:ind w:start="360"/>
        <w:ind w:firstLine="360"/>
      </w:pPr>
      <w:r>
        <w:rPr>
          <w:b/>
        </w:rPr>
        <w:t>2</w:t>
        <w:t xml:space="preserve">.  </w:t>
      </w:r>
      <w:r>
        <w:rPr>
          <w:b/>
        </w:rPr>
      </w:r>
      <w:r>
        <w:t xml:space="preserve"> </w:t>
      </w:r>
      <w:r>
        <w:t xml:space="preserve">For the purposes of this section, "laser pointer" means a hand-held device that emits a visible light beam amplified by the stimulated emission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3</w:t>
        <w:t xml:space="preserve">.  </w:t>
      </w:r>
      <w:r>
        <w:rPr>
          <w:b/>
        </w:rPr>
      </w:r>
      <w:r>
        <w:t xml:space="preserve"> </w:t>
      </w:r>
      <w:r>
        <w:t xml:space="preserve">It is a defense to a prosecution under this section that at the time of the laser pointer's use the person who intentionally, knowingly or recklessly pointed a laser pointer at another person was justified under </w:t>
      </w:r>
      <w:r>
        <w:t>chapter 5</w:t>
      </w:r>
      <w:r>
        <w:t xml:space="preserve"> in threatening or using physical force upon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w:t>
      </w:r>
    </w:p>
    <w:p>
      <w:pPr>
        <w:jc w:val="both"/>
        <w:spacing w:before="100" w:after="0"/>
        <w:ind w:start="360"/>
        <w:ind w:firstLine="360"/>
      </w:pPr>
      <w:r>
        <w:rPr>
          <w:b/>
        </w:rPr>
        <w:t>4</w:t>
        <w:t xml:space="preserve">.  </w:t>
      </w:r>
      <w:r>
        <w:rPr>
          <w:b/>
        </w:rPr>
      </w:r>
      <w:r>
        <w:t xml:space="preserve"> </w:t>
      </w:r>
      <w:r>
        <w:t xml:space="preserve">As part of every judgment of conviction and sentence imposed, every laser pointer that constitutes the basis for conviction under this section must be forfeited to the State and the court shall so order, unless another person can satisfy the court prior to the judgment and by a preponderance of the evidence that such other person had a right to possess the laser pointer,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§113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163, §1 (NEW). PL 2001, c. 383, §§112,113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§1002-A. Criminal use of laser pointers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§1002-A. Criminal use of laser pointers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§1002-A. CRIMINAL USE OF LASER POINTERS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