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PORTABLE 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6</w:t>
        <w:t xml:space="preserve">.  </w:t>
      </w:r>
      <w:r>
        <w:rPr>
          <w:b/>
        </w:rPr>
        <w:t xml:space="preserve">Portable electronic device.</w:t>
        <w:t xml:space="preserve"> </w:t>
      </w:r>
      <w:r>
        <w:t xml:space="preserve"> </w:t>
      </w:r>
      <w:r>
        <w:t xml:space="preserve">"Portable electronic device" means a device that is portable and electric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§5 (AMD).]</w:t>
      </w:r>
    </w:p>
    <w:p>
      <w:pPr>
        <w:jc w:val="both"/>
        <w:spacing w:before="100" w:after="0"/>
        <w:ind w:start="360"/>
        <w:ind w:firstLine="360"/>
      </w:pPr>
      <w:r>
        <w:rPr>
          <w:b/>
        </w:rPr>
        <w:t>7</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portable electronic device content information directly from a provider of electronic communication service or a provider of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§4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may disclose portable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§5 (AMD).]</w:t>
      </w:r>
    </w:p>
    <w:p>
      <w:pPr>
        <w:jc w:val="both"/>
        <w:spacing w:before="100" w:after="0"/>
        <w:ind w:start="360"/>
      </w:pPr>
      <w:r>
        <w:rPr>
          <w:b w:val="true"/>
          <w:i/>
          <w:caps w:val="true"/>
        </w:rPr>
        <w:t xml:space="preserve">Revisor's Note: </w:t>
      </w:r>
      <w:r>
        <w:t>§642.  Warrant needed for acquisition of location information (As enacted by PL 2013, c. 409, §1 is REALLOCATED TO TITLE 16, SECTION 648)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 portable electronic device whose content information was obtained by a government entity.  The notice requirements of this section do not apply if the government entity is unable to identify the owner or user of a portable electronic device.</w:t>
      </w:r>
      <w:r>
        <w:t xml:space="preserve">  </w:t>
      </w:r>
      <w:r xmlns:wp="http://schemas.openxmlformats.org/drawingml/2010/wordprocessingDrawing" xmlns:w15="http://schemas.microsoft.com/office/word/2012/wordml">
        <w:rPr>
          <w:rFonts w:ascii="Arial" w:hAnsi="Arial" w:cs="Arial"/>
          <w:sz w:val="22"/>
          <w:szCs w:val="22"/>
        </w:rPr>
        <w:t xml:space="preserve">[PL 2019, c. 489, §7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w:t>
      </w:r>
      <w:r>
        <w:t>section 642</w:t>
      </w:r>
      <w:r>
        <w:t xml:space="preserve"> may include in its application for a warrant a request for an order directing a provider of electronic communication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portable electronic device content information is not prohibited by federal law, a government entity may obtain the information without a warrant with the informed, affirmative consent of the owner or user of the portable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 portable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3. RECORDS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