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7483</w:t>
        <w:t xml:space="preserve">.  </w:t>
      </w:r>
      <w:r>
        <w:rPr>
          <w:b/>
        </w:rPr>
        <w:t xml:space="preserve">Venue</w:t>
      </w:r>
    </w:p>
    <w:p>
      <w:pPr>
        <w:jc w:val="both"/>
        <w:spacing w:before="100" w:after="100"/>
        <w:ind w:start="360"/>
        <w:ind w:firstLine="360"/>
      </w:pPr>
      <w:r>
        <w:rPr/>
      </w:r>
      <w:r>
        <w:rPr/>
      </w:r>
      <w:r>
        <w:t xml:space="preserve">A small claim shall be brought in the division of the District Court where the transaction occurred, where the defendant resides, where the defendant has a place of business or, if the defendant is a corporation or partnership, where its registered agent resides.</w:t>
      </w:r>
      <w:r>
        <w:t xml:space="preserve">  </w:t>
      </w:r>
      <w:r xmlns:wp="http://schemas.openxmlformats.org/drawingml/2010/wordprocessingDrawing" xmlns:w15="http://schemas.microsoft.com/office/word/2012/wordml">
        <w:rPr>
          <w:rFonts w:ascii="Arial" w:hAnsi="Arial" w:cs="Arial"/>
          <w:sz w:val="22"/>
          <w:szCs w:val="22"/>
        </w:rPr>
        <w:t xml:space="preserve">[PL 1981, c. 667,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§7483.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§7483.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§7483.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